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CA6F4F">
        <w:rPr>
          <w:rFonts w:ascii="Arial" w:hAnsi="Arial" w:cs="Arial"/>
          <w:b/>
          <w:bCs/>
          <w:iCs/>
          <w:sz w:val="26"/>
          <w:szCs w:val="22"/>
          <w:lang w:val="es-CR"/>
        </w:rPr>
        <w:t>423</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6B1B55" w:rsidRPr="00F548D2" w:rsidRDefault="00CA6F4F" w:rsidP="00CA6F4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Sr. Edel Reales Noboa, Director </w:t>
            </w:r>
            <w:proofErr w:type="spellStart"/>
            <w:r>
              <w:rPr>
                <w:rFonts w:ascii="Arial" w:eastAsia="Cambria" w:hAnsi="Arial" w:cs="Arial"/>
                <w:sz w:val="22"/>
                <w:szCs w:val="22"/>
                <w:lang w:val="es-ES_tradnl" w:eastAsia="en-US"/>
              </w:rPr>
              <w:t>a.i.</w:t>
            </w:r>
            <w:proofErr w:type="spellEnd"/>
            <w:r>
              <w:rPr>
                <w:rFonts w:ascii="Arial" w:eastAsia="Cambria" w:hAnsi="Arial" w:cs="Arial"/>
                <w:sz w:val="22"/>
                <w:szCs w:val="22"/>
                <w:lang w:val="es-ES_tradnl" w:eastAsia="en-US"/>
              </w:rPr>
              <w:t xml:space="preserve"> Departamento Secretaría del Directorio Asamblea Legislativa</w:t>
            </w:r>
          </w:p>
        </w:tc>
      </w:tr>
      <w:tr w:rsidR="00CA6F4F" w:rsidRPr="00C413F4" w:rsidTr="004F2645">
        <w:trPr>
          <w:trHeight w:val="593"/>
        </w:trPr>
        <w:tc>
          <w:tcPr>
            <w:tcW w:w="1312" w:type="dxa"/>
          </w:tcPr>
          <w:p w:rsidR="00CA6F4F" w:rsidRPr="00CA6F4F" w:rsidRDefault="00CA6F4F" w:rsidP="007742A1">
            <w:pPr>
              <w:tabs>
                <w:tab w:val="right" w:pos="2100"/>
                <w:tab w:val="left" w:pos="2694"/>
              </w:tabs>
              <w:rPr>
                <w:rFonts w:ascii="Arial" w:eastAsia="SimSun" w:hAnsi="Arial" w:cs="Arial"/>
                <w:b/>
                <w:iCs/>
                <w:lang w:eastAsia="en-US"/>
              </w:rPr>
            </w:pPr>
          </w:p>
        </w:tc>
        <w:tc>
          <w:tcPr>
            <w:tcW w:w="7611" w:type="dxa"/>
          </w:tcPr>
          <w:p w:rsidR="00CA6F4F" w:rsidRDefault="00CA6F4F" w:rsidP="00456ABA">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477A8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05</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junio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477A87" w:rsidRDefault="00FF209C" w:rsidP="00477A87">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477A87">
              <w:rPr>
                <w:rFonts w:ascii="Arial" w:eastAsia="Calibri" w:hAnsi="Arial" w:cs="Arial"/>
                <w:b/>
                <w:sz w:val="22"/>
                <w:szCs w:val="22"/>
              </w:rPr>
              <w:t>20</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477A87">
              <w:rPr>
                <w:rFonts w:ascii="Arial" w:eastAsia="Calibri" w:hAnsi="Arial" w:cs="Arial"/>
                <w:b/>
                <w:sz w:val="22"/>
                <w:szCs w:val="22"/>
              </w:rPr>
              <w:t>10,</w:t>
            </w:r>
            <w:r w:rsidR="007742A1" w:rsidRPr="008F0835">
              <w:rPr>
                <w:rFonts w:ascii="Arial" w:eastAsia="Calibri" w:hAnsi="Arial" w:cs="Arial"/>
                <w:b/>
                <w:sz w:val="22"/>
                <w:szCs w:val="22"/>
              </w:rPr>
              <w:t xml:space="preserve"> del </w:t>
            </w:r>
            <w:r w:rsidR="00477A87">
              <w:rPr>
                <w:rFonts w:ascii="Arial" w:eastAsia="Calibri" w:hAnsi="Arial" w:cs="Arial"/>
                <w:b/>
                <w:sz w:val="22"/>
                <w:szCs w:val="22"/>
              </w:rPr>
              <w:t>05</w:t>
            </w:r>
            <w:r w:rsidR="005A7222">
              <w:rPr>
                <w:rFonts w:ascii="Arial" w:eastAsia="Calibri" w:hAnsi="Arial" w:cs="Arial"/>
                <w:b/>
                <w:sz w:val="22"/>
                <w:szCs w:val="22"/>
              </w:rPr>
              <w:t xml:space="preserve"> de </w:t>
            </w:r>
            <w:r w:rsidR="00477A87">
              <w:rPr>
                <w:rFonts w:ascii="Arial" w:eastAsia="Calibri" w:hAnsi="Arial" w:cs="Arial"/>
                <w:b/>
                <w:sz w:val="22"/>
                <w:szCs w:val="22"/>
              </w:rPr>
              <w:t>junio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477A87" w:rsidRPr="00477A87">
              <w:rPr>
                <w:rFonts w:ascii="Arial" w:eastAsia="Cambria" w:hAnsi="Arial" w:cs="Arial"/>
                <w:b/>
                <w:bCs/>
                <w:sz w:val="22"/>
                <w:szCs w:val="22"/>
                <w:lang w:val="es-CR" w:eastAsia="en-US"/>
              </w:rPr>
              <w:t>Pronunciamiento del Consejo Institucional del Proyecto de Ley “Responsabilidad de las personas jurídicas sobre cohechos domésticos, soborno transnacional y otros delitos”, Expediente No. 21.248</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A6F4F" w:rsidRDefault="00CA6F4F" w:rsidP="007742A1">
      <w:pPr>
        <w:jc w:val="both"/>
        <w:rPr>
          <w:rFonts w:ascii="Arial" w:eastAsia="Cambria" w:hAnsi="Arial" w:cs="Arial"/>
          <w:lang w:val="es-ES_tradnl" w:eastAsia="en-US"/>
        </w:rPr>
      </w:pPr>
    </w:p>
    <w:p w:rsidR="00CA6F4F" w:rsidRPr="00CA6F4F" w:rsidRDefault="00CA6F4F" w:rsidP="00CA6F4F">
      <w:pPr>
        <w:spacing w:after="200"/>
        <w:rPr>
          <w:rFonts w:ascii="Arial" w:hAnsi="Arial" w:cs="Arial"/>
          <w:b/>
          <w:bCs/>
          <w:i/>
          <w:iCs/>
          <w:kern w:val="32"/>
          <w:sz w:val="22"/>
          <w:szCs w:val="22"/>
        </w:rPr>
      </w:pPr>
      <w:r w:rsidRPr="00CA6F4F">
        <w:rPr>
          <w:rFonts w:ascii="Arial" w:hAnsi="Arial" w:cs="Arial"/>
          <w:b/>
          <w:bCs/>
          <w:kern w:val="32"/>
          <w:sz w:val="22"/>
          <w:szCs w:val="22"/>
        </w:rPr>
        <w:t>RESULTANDO QUE:</w:t>
      </w:r>
    </w:p>
    <w:p w:rsidR="00CA6F4F" w:rsidRPr="00CA6F4F" w:rsidRDefault="00CA6F4F" w:rsidP="00CA6F4F">
      <w:pPr>
        <w:numPr>
          <w:ilvl w:val="0"/>
          <w:numId w:val="3"/>
        </w:numPr>
        <w:ind w:left="360"/>
        <w:jc w:val="both"/>
        <w:rPr>
          <w:rFonts w:ascii="Arial" w:hAnsi="Arial" w:cs="Arial"/>
          <w:sz w:val="22"/>
          <w:szCs w:val="22"/>
          <w:lang w:val="es-CR"/>
        </w:rPr>
      </w:pPr>
      <w:r w:rsidRPr="00CA6F4F">
        <w:rPr>
          <w:rFonts w:ascii="Arial" w:hAnsi="Arial" w:cs="Arial"/>
          <w:sz w:val="22"/>
          <w:szCs w:val="22"/>
          <w:lang w:val="es-CR"/>
        </w:rPr>
        <w:t>El Artículo 88 de la Constitución Política de la República de Costa Rica indica:</w:t>
      </w:r>
    </w:p>
    <w:p w:rsidR="00CA6F4F" w:rsidRPr="00CA6F4F" w:rsidRDefault="00CA6F4F" w:rsidP="00CA6F4F">
      <w:pPr>
        <w:ind w:left="360"/>
        <w:jc w:val="both"/>
        <w:rPr>
          <w:rFonts w:ascii="Arial" w:hAnsi="Arial" w:cs="Arial"/>
          <w:sz w:val="22"/>
          <w:szCs w:val="22"/>
          <w:lang w:val="es-CR"/>
        </w:rPr>
      </w:pPr>
    </w:p>
    <w:p w:rsidR="00CA6F4F" w:rsidRPr="00CA6F4F" w:rsidRDefault="00CA6F4F" w:rsidP="00CA6F4F">
      <w:pPr>
        <w:ind w:left="1080" w:right="689"/>
        <w:jc w:val="both"/>
        <w:rPr>
          <w:rFonts w:ascii="Arial" w:hAnsi="Arial" w:cs="Arial"/>
          <w:i/>
          <w:sz w:val="22"/>
          <w:szCs w:val="22"/>
          <w:lang w:val="es-CR"/>
        </w:rPr>
      </w:pPr>
      <w:r w:rsidRPr="00CA6F4F">
        <w:rPr>
          <w:rFonts w:ascii="Arial" w:hAnsi="Arial" w:cs="Arial"/>
          <w:i/>
          <w:sz w:val="22"/>
          <w:szCs w:val="22"/>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CA6F4F" w:rsidRPr="00CA6F4F" w:rsidRDefault="00CA6F4F" w:rsidP="00CA6F4F">
      <w:pPr>
        <w:ind w:left="1080" w:right="689"/>
        <w:jc w:val="both"/>
        <w:rPr>
          <w:rFonts w:ascii="Arial" w:hAnsi="Arial" w:cs="Arial"/>
          <w:i/>
          <w:sz w:val="22"/>
          <w:szCs w:val="22"/>
          <w:lang w:val="es-CR"/>
        </w:rPr>
      </w:pPr>
    </w:p>
    <w:p w:rsidR="00CA6F4F" w:rsidRPr="00CA6F4F" w:rsidRDefault="00CA6F4F" w:rsidP="00CA6F4F">
      <w:pPr>
        <w:numPr>
          <w:ilvl w:val="0"/>
          <w:numId w:val="3"/>
        </w:numPr>
        <w:ind w:left="360"/>
        <w:jc w:val="both"/>
        <w:rPr>
          <w:rFonts w:ascii="Arial" w:hAnsi="Arial" w:cs="Arial"/>
          <w:sz w:val="22"/>
          <w:szCs w:val="22"/>
          <w:lang w:val="es-CR"/>
        </w:rPr>
      </w:pPr>
      <w:r w:rsidRPr="00CA6F4F">
        <w:rPr>
          <w:rFonts w:ascii="Arial" w:hAnsi="Arial" w:cs="Arial"/>
          <w:sz w:val="22"/>
          <w:szCs w:val="22"/>
          <w:lang w:val="es-CR"/>
        </w:rPr>
        <w:t>El Estatuto Orgánico del Instituto Tecnológico de Costa Rica, en el Artículo 18, inciso i) señala:</w:t>
      </w:r>
    </w:p>
    <w:p w:rsidR="00CA6F4F" w:rsidRPr="00CA6F4F" w:rsidRDefault="00CA6F4F" w:rsidP="00CA6F4F">
      <w:pPr>
        <w:ind w:left="1080" w:right="689"/>
        <w:jc w:val="both"/>
        <w:rPr>
          <w:rFonts w:ascii="Arial" w:hAnsi="Arial" w:cs="Arial"/>
          <w:i/>
          <w:sz w:val="22"/>
          <w:szCs w:val="22"/>
          <w:lang w:val="es-CR"/>
        </w:rPr>
      </w:pPr>
    </w:p>
    <w:p w:rsidR="00CA6F4F" w:rsidRPr="00CA6F4F" w:rsidRDefault="00CA6F4F" w:rsidP="00CA6F4F">
      <w:pPr>
        <w:ind w:left="1080" w:right="689"/>
        <w:jc w:val="both"/>
        <w:rPr>
          <w:rFonts w:ascii="Arial" w:hAnsi="Arial" w:cs="Arial"/>
          <w:i/>
          <w:sz w:val="22"/>
          <w:szCs w:val="22"/>
          <w:lang w:val="es-CR"/>
        </w:rPr>
      </w:pPr>
      <w:r w:rsidRPr="00CA6F4F">
        <w:rPr>
          <w:rFonts w:ascii="Arial" w:hAnsi="Arial" w:cs="Arial"/>
          <w:i/>
          <w:sz w:val="22"/>
          <w:szCs w:val="22"/>
          <w:lang w:val="es-CR"/>
        </w:rPr>
        <w:t>“Son funciones del Consejo Institucional:</w:t>
      </w:r>
    </w:p>
    <w:p w:rsidR="00CA6F4F" w:rsidRPr="00CA6F4F" w:rsidRDefault="00CA6F4F" w:rsidP="00CA6F4F">
      <w:pPr>
        <w:ind w:left="1080" w:right="689"/>
        <w:jc w:val="both"/>
        <w:rPr>
          <w:rFonts w:ascii="Arial" w:hAnsi="Arial" w:cs="Arial"/>
          <w:i/>
          <w:sz w:val="22"/>
          <w:szCs w:val="22"/>
          <w:lang w:val="es-CR"/>
        </w:rPr>
      </w:pPr>
      <w:r w:rsidRPr="00CA6F4F">
        <w:rPr>
          <w:rFonts w:ascii="Arial" w:hAnsi="Arial" w:cs="Arial"/>
          <w:i/>
          <w:sz w:val="22"/>
          <w:szCs w:val="22"/>
          <w:lang w:val="es-CR"/>
        </w:rPr>
        <w:t>…</w:t>
      </w:r>
    </w:p>
    <w:p w:rsidR="00CA6F4F" w:rsidRPr="00CA6F4F" w:rsidRDefault="00CA6F4F" w:rsidP="00F34C81">
      <w:pPr>
        <w:ind w:left="1080" w:right="689"/>
        <w:jc w:val="both"/>
        <w:rPr>
          <w:rFonts w:ascii="Arial" w:hAnsi="Arial" w:cs="Arial"/>
          <w:i/>
          <w:sz w:val="22"/>
          <w:szCs w:val="22"/>
          <w:lang w:val="es-CR"/>
        </w:rPr>
      </w:pPr>
      <w:r w:rsidRPr="00CA6F4F">
        <w:rPr>
          <w:rFonts w:ascii="Arial" w:hAnsi="Arial" w:cs="Arial"/>
          <w:i/>
          <w:sz w:val="22"/>
          <w:szCs w:val="22"/>
          <w:lang w:val="es-CR"/>
        </w:rPr>
        <w:t>Evacuar las consultas a que se refiere el Artículo 88 de la Constitución Política de la República”.</w:t>
      </w:r>
    </w:p>
    <w:p w:rsidR="00CA6F4F" w:rsidRPr="00CA6F4F" w:rsidRDefault="00CA6F4F" w:rsidP="00CA6F4F">
      <w:pPr>
        <w:keepNext/>
        <w:spacing w:before="240" w:after="60"/>
        <w:jc w:val="both"/>
        <w:outlineLvl w:val="0"/>
        <w:rPr>
          <w:rFonts w:ascii="Arial" w:hAnsi="Arial" w:cs="Arial"/>
          <w:b/>
          <w:bCs/>
          <w:kern w:val="32"/>
          <w:sz w:val="22"/>
          <w:szCs w:val="22"/>
        </w:rPr>
      </w:pPr>
      <w:r w:rsidRPr="00CA6F4F">
        <w:rPr>
          <w:rFonts w:ascii="Arial" w:hAnsi="Arial" w:cs="Arial"/>
          <w:b/>
          <w:bCs/>
          <w:kern w:val="32"/>
          <w:sz w:val="22"/>
          <w:szCs w:val="22"/>
        </w:rPr>
        <w:t>CONSIDERANDO QUE:</w:t>
      </w:r>
    </w:p>
    <w:p w:rsidR="00CA6F4F" w:rsidRPr="00CA6F4F" w:rsidRDefault="00CA6F4F" w:rsidP="00CA6F4F">
      <w:pPr>
        <w:jc w:val="both"/>
        <w:rPr>
          <w:sz w:val="20"/>
          <w:szCs w:val="20"/>
        </w:rPr>
      </w:pPr>
    </w:p>
    <w:p w:rsidR="00CA6F4F" w:rsidRPr="00CA6F4F" w:rsidRDefault="00CA6F4F" w:rsidP="00CA6F4F">
      <w:pPr>
        <w:numPr>
          <w:ilvl w:val="0"/>
          <w:numId w:val="39"/>
        </w:numPr>
        <w:ind w:left="284" w:hanging="284"/>
        <w:contextualSpacing/>
        <w:jc w:val="both"/>
        <w:rPr>
          <w:rFonts w:ascii="Arial" w:hAnsi="Arial" w:cs="Arial"/>
          <w:b/>
          <w:sz w:val="22"/>
          <w:szCs w:val="22"/>
          <w:lang w:val="es-CR"/>
        </w:rPr>
      </w:pPr>
      <w:r w:rsidRPr="00CA6F4F">
        <w:rPr>
          <w:rFonts w:ascii="Arial" w:hAnsi="Arial" w:cs="Arial"/>
          <w:sz w:val="22"/>
          <w:szCs w:val="22"/>
          <w:lang w:val="es-CR"/>
        </w:rPr>
        <w:t>La Secretaría del Consejo Institucional recibió correo electrónico de parte de Asamblea Legislativa, dirigido al Dr. Julio C. Calvo Alvarado, en calidad de Rector de la Institución, en el cual se solicita criterio sobre el Proyecto de Ley “Responsabilidad de las personas jurídicas sobre cohechos domésticos, soborno transnacional y otros delitos”, Expediente No. 21.248.</w:t>
      </w:r>
    </w:p>
    <w:p w:rsidR="00CA6F4F" w:rsidRPr="00CA6F4F" w:rsidRDefault="00CA6F4F" w:rsidP="00CA6F4F">
      <w:pPr>
        <w:ind w:left="284" w:hanging="284"/>
        <w:contextualSpacing/>
        <w:jc w:val="both"/>
        <w:rPr>
          <w:rFonts w:ascii="Arial" w:hAnsi="Arial" w:cs="Arial"/>
          <w:sz w:val="22"/>
          <w:szCs w:val="22"/>
          <w:lang w:val="es-CR"/>
        </w:rPr>
      </w:pPr>
    </w:p>
    <w:p w:rsidR="00CA6F4F" w:rsidRPr="00CA6F4F" w:rsidRDefault="00CA6F4F" w:rsidP="00CA6F4F">
      <w:pPr>
        <w:numPr>
          <w:ilvl w:val="0"/>
          <w:numId w:val="39"/>
        </w:numPr>
        <w:ind w:left="284" w:hanging="284"/>
        <w:jc w:val="both"/>
        <w:rPr>
          <w:rFonts w:ascii="Arial" w:hAnsi="Arial" w:cs="Arial"/>
          <w:sz w:val="22"/>
          <w:szCs w:val="22"/>
          <w:lang w:val="es-CR"/>
        </w:rPr>
      </w:pPr>
      <w:r w:rsidRPr="00CA6F4F">
        <w:rPr>
          <w:rFonts w:ascii="Arial" w:hAnsi="Arial" w:cs="Arial"/>
          <w:sz w:val="22"/>
          <w:szCs w:val="22"/>
          <w:lang w:val="es-CR"/>
        </w:rPr>
        <w:t xml:space="preserve">La recepción del expediente consultado, fue conocida en la Sesión No. 3117 del Consejo Institucional, y se acordó trasladarlo a algunas dependencias del TEC, para la emisión de su criterio sobre el tema. </w:t>
      </w:r>
    </w:p>
    <w:p w:rsidR="00CA6F4F" w:rsidRPr="00CA6F4F" w:rsidRDefault="00CA6F4F" w:rsidP="00CA6F4F">
      <w:pPr>
        <w:ind w:left="284" w:hanging="284"/>
        <w:jc w:val="both"/>
        <w:rPr>
          <w:rFonts w:ascii="Arial" w:hAnsi="Arial" w:cs="Arial"/>
          <w:sz w:val="22"/>
          <w:szCs w:val="22"/>
          <w:lang w:val="es-CR"/>
        </w:rPr>
      </w:pPr>
    </w:p>
    <w:p w:rsidR="00CA6F4F" w:rsidRPr="00CA6F4F" w:rsidRDefault="00CA6F4F" w:rsidP="00CA6F4F">
      <w:pPr>
        <w:numPr>
          <w:ilvl w:val="0"/>
          <w:numId w:val="39"/>
        </w:numPr>
        <w:ind w:left="284" w:hanging="284"/>
        <w:jc w:val="both"/>
        <w:rPr>
          <w:rFonts w:ascii="Arial" w:hAnsi="Arial" w:cs="Arial"/>
          <w:sz w:val="22"/>
          <w:szCs w:val="22"/>
          <w:lang w:val="es-CR"/>
        </w:rPr>
      </w:pPr>
      <w:r w:rsidRPr="00CA6F4F">
        <w:rPr>
          <w:rFonts w:ascii="Arial" w:hAnsi="Arial" w:cs="Arial"/>
          <w:sz w:val="22"/>
          <w:szCs w:val="22"/>
          <w:lang w:val="es-CR"/>
        </w:rPr>
        <w:lastRenderedPageBreak/>
        <w:t xml:space="preserve">La Secretaría del Consejo Institucional recibió oficios, que contienen los criterios de las dependencias de la Institución, que fueron consultadas. </w:t>
      </w:r>
    </w:p>
    <w:p w:rsidR="00CA6F4F" w:rsidRPr="00CA6F4F" w:rsidRDefault="00CA6F4F" w:rsidP="00CA6F4F">
      <w:pPr>
        <w:jc w:val="both"/>
        <w:rPr>
          <w:rFonts w:ascii="Arial" w:hAnsi="Arial" w:cs="Arial"/>
          <w:sz w:val="22"/>
          <w:szCs w:val="22"/>
          <w:lang w:val="es-CR"/>
        </w:rPr>
      </w:pPr>
    </w:p>
    <w:p w:rsidR="00CA6F4F" w:rsidRPr="00CA6F4F" w:rsidRDefault="00CA6F4F" w:rsidP="00CA6F4F">
      <w:pPr>
        <w:keepNext/>
        <w:keepLines/>
        <w:spacing w:before="40"/>
        <w:outlineLvl w:val="1"/>
        <w:rPr>
          <w:rFonts w:ascii="Arial" w:eastAsiaTheme="majorEastAsia" w:hAnsi="Arial" w:cs="Arial"/>
          <w:b/>
          <w:bCs/>
          <w:kern w:val="32"/>
          <w:sz w:val="22"/>
          <w:szCs w:val="22"/>
        </w:rPr>
      </w:pPr>
      <w:r w:rsidRPr="00CA6F4F">
        <w:rPr>
          <w:rFonts w:ascii="Arial" w:hAnsi="Arial" w:cs="Arial"/>
          <w:b/>
          <w:bCs/>
          <w:kern w:val="32"/>
        </w:rPr>
        <w:t>SE</w:t>
      </w:r>
      <w:r w:rsidRPr="00CA6F4F">
        <w:rPr>
          <w:rFonts w:ascii="Arial" w:hAnsi="Arial" w:cs="Arial"/>
          <w:b/>
          <w:bCs/>
          <w:kern w:val="32"/>
        </w:rPr>
        <w:t xml:space="preserve"> ACUERDA</w:t>
      </w:r>
      <w:r w:rsidRPr="00CA6F4F">
        <w:rPr>
          <w:rFonts w:ascii="Arial" w:hAnsi="Arial" w:cs="Arial"/>
          <w:b/>
          <w:bCs/>
          <w:kern w:val="32"/>
          <w:sz w:val="22"/>
          <w:szCs w:val="22"/>
        </w:rPr>
        <w:t>:</w:t>
      </w:r>
    </w:p>
    <w:p w:rsidR="00CA6F4F" w:rsidRPr="00CA6F4F" w:rsidRDefault="00CA6F4F" w:rsidP="00CA6F4F">
      <w:pPr>
        <w:rPr>
          <w:sz w:val="20"/>
          <w:szCs w:val="20"/>
        </w:rPr>
      </w:pPr>
    </w:p>
    <w:p w:rsidR="00CA6F4F" w:rsidRPr="00CA6F4F" w:rsidRDefault="00CA6F4F" w:rsidP="00CA6F4F">
      <w:pPr>
        <w:numPr>
          <w:ilvl w:val="0"/>
          <w:numId w:val="40"/>
        </w:numPr>
        <w:ind w:left="426" w:hanging="426"/>
        <w:jc w:val="both"/>
        <w:rPr>
          <w:rFonts w:ascii="Arial" w:eastAsia="Cambria" w:hAnsi="Arial" w:cs="Arial"/>
          <w:sz w:val="22"/>
          <w:szCs w:val="22"/>
          <w:lang w:eastAsia="en-US"/>
        </w:rPr>
      </w:pPr>
      <w:r w:rsidRPr="00CA6F4F">
        <w:rPr>
          <w:rFonts w:ascii="Arial" w:eastAsia="Cambria" w:hAnsi="Arial" w:cs="Arial"/>
          <w:sz w:val="22"/>
          <w:szCs w:val="22"/>
          <w:lang w:eastAsia="en-US"/>
        </w:rPr>
        <w:t>Comunicar a la dependencia de la Asamblea Legislativa correspondiente</w:t>
      </w:r>
      <w:r w:rsidR="00F34C81">
        <w:rPr>
          <w:rFonts w:ascii="Arial" w:eastAsia="Cambria" w:hAnsi="Arial" w:cs="Arial"/>
          <w:sz w:val="22"/>
          <w:szCs w:val="22"/>
          <w:lang w:eastAsia="en-US"/>
        </w:rPr>
        <w:t>,</w:t>
      </w:r>
      <w:r w:rsidRPr="00CA6F4F">
        <w:rPr>
          <w:rFonts w:ascii="Arial" w:eastAsia="Cambria" w:hAnsi="Arial" w:cs="Arial"/>
          <w:sz w:val="22"/>
          <w:szCs w:val="22"/>
          <w:lang w:eastAsia="en-US"/>
        </w:rPr>
        <w:t xml:space="preserve"> las observaciones que se detallan a continuación, para el proyecto consultado:</w:t>
      </w:r>
    </w:p>
    <w:p w:rsidR="00CA6F4F" w:rsidRPr="00CA6F4F" w:rsidRDefault="00CA6F4F" w:rsidP="00CA6F4F">
      <w:pPr>
        <w:autoSpaceDE w:val="0"/>
        <w:autoSpaceDN w:val="0"/>
        <w:adjustRightInd w:val="0"/>
        <w:ind w:right="-91"/>
        <w:jc w:val="both"/>
        <w:rPr>
          <w:rFonts w:ascii="Arial" w:eastAsia="Cambria" w:hAnsi="Arial" w:cs="Arial"/>
          <w:sz w:val="22"/>
          <w:szCs w:val="22"/>
          <w:lang w:eastAsia="en-US"/>
        </w:rPr>
      </w:pPr>
    </w:p>
    <w:p w:rsidR="00CA6F4F" w:rsidRPr="00CA6F4F" w:rsidRDefault="00CA6F4F" w:rsidP="00CA6F4F">
      <w:pPr>
        <w:autoSpaceDE w:val="0"/>
        <w:autoSpaceDN w:val="0"/>
        <w:adjustRightInd w:val="0"/>
        <w:ind w:right="-91"/>
        <w:jc w:val="both"/>
        <w:rPr>
          <w:rFonts w:ascii="Arial" w:eastAsia="Cambria" w:hAnsi="Arial" w:cs="Arial"/>
          <w:sz w:val="22"/>
          <w:szCs w:val="22"/>
          <w:u w:val="single"/>
          <w:lang w:eastAsia="en-US"/>
        </w:rPr>
      </w:pPr>
      <w:r w:rsidRPr="00CA6F4F">
        <w:rPr>
          <w:rFonts w:ascii="Arial" w:eastAsia="Cambria" w:hAnsi="Arial" w:cs="Arial"/>
          <w:sz w:val="22"/>
          <w:szCs w:val="22"/>
          <w:u w:val="single"/>
          <w:lang w:eastAsia="en-US"/>
        </w:rPr>
        <w:t xml:space="preserve">Presidencia de la Asamblea Legislativa:  </w:t>
      </w:r>
    </w:p>
    <w:p w:rsidR="00CA6F4F" w:rsidRPr="00CA6F4F" w:rsidRDefault="00CA6F4F" w:rsidP="00CA6F4F">
      <w:pPr>
        <w:autoSpaceDE w:val="0"/>
        <w:autoSpaceDN w:val="0"/>
        <w:adjustRightInd w:val="0"/>
        <w:ind w:right="-91"/>
        <w:jc w:val="both"/>
        <w:rPr>
          <w:rFonts w:ascii="Arial" w:eastAsia="Cambria" w:hAnsi="Arial" w:cs="Arial"/>
          <w:sz w:val="22"/>
          <w:szCs w:val="22"/>
          <w:lang w:eastAsia="en-US"/>
        </w:rPr>
      </w:pPr>
    </w:p>
    <w:tbl>
      <w:tblPr>
        <w:tblStyle w:val="Tablaconcuadrcula12"/>
        <w:tblW w:w="9776" w:type="dxa"/>
        <w:tblLayout w:type="fixed"/>
        <w:tblLook w:val="04A0" w:firstRow="1" w:lastRow="0" w:firstColumn="1" w:lastColumn="0" w:noHBand="0" w:noVBand="1"/>
      </w:tblPr>
      <w:tblGrid>
        <w:gridCol w:w="1554"/>
        <w:gridCol w:w="2835"/>
        <w:gridCol w:w="1984"/>
        <w:gridCol w:w="3403"/>
      </w:tblGrid>
      <w:tr w:rsidR="00CA6F4F" w:rsidRPr="00CA6F4F" w:rsidTr="00957F13">
        <w:tc>
          <w:tcPr>
            <w:tcW w:w="1554" w:type="dxa"/>
          </w:tcPr>
          <w:p w:rsidR="00CA6F4F" w:rsidRPr="00CA6F4F" w:rsidRDefault="00CA6F4F" w:rsidP="00CA6F4F">
            <w:pPr>
              <w:autoSpaceDE w:val="0"/>
              <w:autoSpaceDN w:val="0"/>
              <w:adjustRightInd w:val="0"/>
              <w:ind w:right="-91"/>
              <w:jc w:val="center"/>
              <w:rPr>
                <w:rFonts w:ascii="Arial" w:eastAsia="Cambria" w:hAnsi="Arial" w:cs="Arial"/>
                <w:b/>
                <w:sz w:val="22"/>
                <w:szCs w:val="22"/>
                <w:lang w:eastAsia="en-US"/>
              </w:rPr>
            </w:pPr>
            <w:r w:rsidRPr="00CA6F4F">
              <w:rPr>
                <w:rFonts w:ascii="Arial" w:eastAsia="Cambria" w:hAnsi="Arial" w:cs="Arial"/>
                <w:b/>
                <w:sz w:val="22"/>
                <w:szCs w:val="22"/>
                <w:lang w:eastAsia="en-US"/>
              </w:rPr>
              <w:t>No. Expediente</w:t>
            </w:r>
          </w:p>
        </w:tc>
        <w:tc>
          <w:tcPr>
            <w:tcW w:w="2835" w:type="dxa"/>
          </w:tcPr>
          <w:p w:rsidR="00CA6F4F" w:rsidRPr="00CA6F4F" w:rsidRDefault="00CA6F4F" w:rsidP="00CA6F4F">
            <w:pPr>
              <w:autoSpaceDE w:val="0"/>
              <w:autoSpaceDN w:val="0"/>
              <w:adjustRightInd w:val="0"/>
              <w:ind w:right="-91"/>
              <w:jc w:val="center"/>
              <w:rPr>
                <w:rFonts w:ascii="Arial" w:eastAsia="Cambria" w:hAnsi="Arial" w:cs="Arial"/>
                <w:b/>
                <w:sz w:val="22"/>
                <w:szCs w:val="22"/>
                <w:lang w:eastAsia="en-US"/>
              </w:rPr>
            </w:pPr>
            <w:r w:rsidRPr="00CA6F4F">
              <w:rPr>
                <w:rFonts w:ascii="Arial" w:eastAsia="Cambria" w:hAnsi="Arial" w:cs="Arial"/>
                <w:b/>
                <w:sz w:val="22"/>
                <w:szCs w:val="22"/>
                <w:lang w:eastAsia="en-US"/>
              </w:rPr>
              <w:t>Nombre del Proyecto</w:t>
            </w:r>
          </w:p>
        </w:tc>
        <w:tc>
          <w:tcPr>
            <w:tcW w:w="1984" w:type="dxa"/>
          </w:tcPr>
          <w:p w:rsidR="00CA6F4F" w:rsidRPr="00CA6F4F" w:rsidRDefault="00CA6F4F" w:rsidP="00CA6F4F">
            <w:pPr>
              <w:autoSpaceDE w:val="0"/>
              <w:autoSpaceDN w:val="0"/>
              <w:adjustRightInd w:val="0"/>
              <w:ind w:right="-91"/>
              <w:jc w:val="center"/>
              <w:rPr>
                <w:rFonts w:ascii="Arial" w:eastAsia="Cambria" w:hAnsi="Arial" w:cs="Arial"/>
                <w:b/>
                <w:sz w:val="22"/>
                <w:szCs w:val="22"/>
                <w:lang w:eastAsia="en-US"/>
              </w:rPr>
            </w:pPr>
            <w:r w:rsidRPr="00CA6F4F">
              <w:rPr>
                <w:rFonts w:ascii="Arial" w:eastAsia="Cambria" w:hAnsi="Arial" w:cs="Arial"/>
                <w:b/>
                <w:sz w:val="22"/>
                <w:szCs w:val="22"/>
                <w:lang w:eastAsia="en-US"/>
              </w:rPr>
              <w:t>Transgrede o no la Autonomía Universitaria</w:t>
            </w:r>
          </w:p>
        </w:tc>
        <w:tc>
          <w:tcPr>
            <w:tcW w:w="3403" w:type="dxa"/>
          </w:tcPr>
          <w:p w:rsidR="00CA6F4F" w:rsidRPr="00CA6F4F" w:rsidRDefault="00CA6F4F" w:rsidP="00CA6F4F">
            <w:pPr>
              <w:autoSpaceDE w:val="0"/>
              <w:autoSpaceDN w:val="0"/>
              <w:adjustRightInd w:val="0"/>
              <w:ind w:right="-91"/>
              <w:jc w:val="center"/>
              <w:rPr>
                <w:rFonts w:ascii="Arial" w:eastAsia="Cambria" w:hAnsi="Arial" w:cs="Arial"/>
                <w:b/>
                <w:sz w:val="22"/>
                <w:szCs w:val="22"/>
                <w:lang w:eastAsia="en-US"/>
              </w:rPr>
            </w:pPr>
            <w:r w:rsidRPr="00CA6F4F">
              <w:rPr>
                <w:rFonts w:ascii="Arial" w:eastAsia="Cambria" w:hAnsi="Arial" w:cs="Arial"/>
                <w:b/>
                <w:sz w:val="22"/>
                <w:szCs w:val="22"/>
                <w:lang w:eastAsia="en-US"/>
              </w:rPr>
              <w:t>Observaciones de las diferentes entidades institucionales consultadas</w:t>
            </w:r>
          </w:p>
        </w:tc>
      </w:tr>
      <w:tr w:rsidR="00CA6F4F" w:rsidRPr="00CA6F4F" w:rsidTr="00957F13">
        <w:tc>
          <w:tcPr>
            <w:tcW w:w="1554" w:type="dxa"/>
          </w:tcPr>
          <w:p w:rsidR="00CA6F4F" w:rsidRPr="00CA6F4F" w:rsidRDefault="00CA6F4F" w:rsidP="00CA6F4F">
            <w:pPr>
              <w:autoSpaceDE w:val="0"/>
              <w:autoSpaceDN w:val="0"/>
              <w:adjustRightInd w:val="0"/>
              <w:ind w:right="-91"/>
              <w:jc w:val="center"/>
              <w:rPr>
                <w:rFonts w:ascii="Arial" w:eastAsia="Cambria" w:hAnsi="Arial" w:cs="Arial"/>
                <w:b/>
                <w:lang w:eastAsia="en-US"/>
              </w:rPr>
            </w:pPr>
            <w:r w:rsidRPr="00CA6F4F">
              <w:rPr>
                <w:rFonts w:ascii="Arial" w:eastAsia="Cambria" w:hAnsi="Arial" w:cs="Arial"/>
                <w:b/>
                <w:lang w:eastAsia="en-US"/>
              </w:rPr>
              <w:t>21.248</w:t>
            </w:r>
          </w:p>
        </w:tc>
        <w:tc>
          <w:tcPr>
            <w:tcW w:w="2835" w:type="dxa"/>
          </w:tcPr>
          <w:p w:rsidR="00CA6F4F" w:rsidRPr="00CA6F4F" w:rsidRDefault="00CA6F4F" w:rsidP="00CA6F4F">
            <w:pPr>
              <w:autoSpaceDE w:val="0"/>
              <w:autoSpaceDN w:val="0"/>
              <w:adjustRightInd w:val="0"/>
              <w:ind w:right="-91"/>
              <w:jc w:val="both"/>
              <w:rPr>
                <w:rFonts w:ascii="Arial" w:eastAsia="Cambria" w:hAnsi="Arial" w:cs="Arial"/>
                <w:lang w:eastAsia="en-US"/>
              </w:rPr>
            </w:pPr>
            <w:r w:rsidRPr="00CA6F4F">
              <w:rPr>
                <w:rFonts w:ascii="Arial" w:eastAsia="SimSun" w:hAnsi="Arial" w:cs="Arial"/>
                <w:b/>
                <w:iCs/>
              </w:rPr>
              <w:t>Ley de Responsabilidad de las personas jurídicas sobre cohechos domésticos, soborno transnacional y otros delitos</w:t>
            </w:r>
          </w:p>
        </w:tc>
        <w:tc>
          <w:tcPr>
            <w:tcW w:w="1984" w:type="dxa"/>
          </w:tcPr>
          <w:p w:rsidR="00CA6F4F" w:rsidRPr="00CA6F4F" w:rsidRDefault="00CA6F4F" w:rsidP="00CA6F4F">
            <w:pPr>
              <w:autoSpaceDE w:val="0"/>
              <w:autoSpaceDN w:val="0"/>
              <w:adjustRightInd w:val="0"/>
              <w:ind w:right="-91"/>
              <w:jc w:val="center"/>
              <w:rPr>
                <w:rFonts w:ascii="Arial" w:eastAsia="Cambria" w:hAnsi="Arial" w:cs="Arial"/>
                <w:lang w:eastAsia="en-US"/>
              </w:rPr>
            </w:pPr>
            <w:r w:rsidRPr="00CA6F4F">
              <w:rPr>
                <w:rFonts w:ascii="Arial" w:eastAsia="Cambria" w:hAnsi="Arial" w:cs="Arial"/>
                <w:lang w:eastAsia="en-US"/>
              </w:rPr>
              <w:t>No</w:t>
            </w:r>
          </w:p>
        </w:tc>
        <w:tc>
          <w:tcPr>
            <w:tcW w:w="3403" w:type="dxa"/>
          </w:tcPr>
          <w:p w:rsidR="00CA6F4F" w:rsidRPr="00CA6F4F" w:rsidRDefault="00CA6F4F" w:rsidP="00CA6F4F">
            <w:pPr>
              <w:autoSpaceDE w:val="0"/>
              <w:autoSpaceDN w:val="0"/>
              <w:adjustRightInd w:val="0"/>
              <w:ind w:right="-91"/>
              <w:rPr>
                <w:rFonts w:ascii="Arial" w:eastAsia="Cambria" w:hAnsi="Arial" w:cs="Arial"/>
                <w:b/>
                <w:sz w:val="22"/>
                <w:szCs w:val="22"/>
                <w:u w:val="single"/>
                <w:lang w:eastAsia="en-US"/>
              </w:rPr>
            </w:pPr>
            <w:r w:rsidRPr="00CA6F4F">
              <w:rPr>
                <w:rFonts w:ascii="Arial" w:eastAsia="Cambria" w:hAnsi="Arial" w:cs="Arial"/>
                <w:b/>
                <w:sz w:val="22"/>
                <w:szCs w:val="22"/>
                <w:u w:val="single"/>
                <w:lang w:eastAsia="en-US"/>
              </w:rPr>
              <w:t>Oficina de Asesoría Legal</w:t>
            </w:r>
          </w:p>
          <w:p w:rsidR="00CA6F4F" w:rsidRPr="00CA6F4F" w:rsidRDefault="00CA6F4F" w:rsidP="00CA6F4F">
            <w:pPr>
              <w:shd w:val="clear" w:color="auto" w:fill="FFFFFF"/>
              <w:jc w:val="both"/>
              <w:rPr>
                <w:rFonts w:ascii="Arial" w:eastAsia="Cambria" w:hAnsi="Arial" w:cs="Arial"/>
                <w:b/>
                <w:sz w:val="22"/>
                <w:szCs w:val="22"/>
                <w:lang w:eastAsia="en-US"/>
              </w:rPr>
            </w:pPr>
          </w:p>
          <w:p w:rsidR="00CA6F4F" w:rsidRPr="00CA6F4F" w:rsidRDefault="00CA6F4F" w:rsidP="00CA6F4F">
            <w:pPr>
              <w:shd w:val="clear" w:color="auto" w:fill="FFFFFF"/>
              <w:jc w:val="both"/>
              <w:rPr>
                <w:rFonts w:ascii="Arial" w:hAnsi="Arial" w:cs="Arial"/>
                <w:i/>
                <w:color w:val="333333"/>
                <w:sz w:val="22"/>
                <w:szCs w:val="22"/>
                <w:lang w:eastAsia="es-CR"/>
              </w:rPr>
            </w:pPr>
            <w:r w:rsidRPr="00CA6F4F">
              <w:rPr>
                <w:rFonts w:ascii="Arial" w:hAnsi="Arial" w:cs="Arial"/>
                <w:i/>
                <w:color w:val="333333"/>
                <w:sz w:val="22"/>
                <w:szCs w:val="22"/>
                <w:lang w:eastAsia="es-CR"/>
              </w:rPr>
              <w:t>“1- Desde un punto jurídico existen indicadores en el sentido que: este proyecto de llegarse a aprobar podría favorecer a la institución, quien tiene vinculación e interés en este tema y en especial en cuanto a su relación con entidades privadas como la FUNDATEC y la ASETEC quienes podrían a futuro incurrir en acto penales por corrupción con el riesgo de que pueden ser disueltas y generar un posible conflicto con el ITCR.  En cuanto a la afectación de la Autonomía Universitaria esta Asesoría no ha encontrado elementos que puedan comprometer la misma.”</w:t>
            </w:r>
          </w:p>
          <w:p w:rsidR="00CA6F4F" w:rsidRPr="00CA6F4F" w:rsidRDefault="00CA6F4F" w:rsidP="00CA6F4F">
            <w:pPr>
              <w:shd w:val="clear" w:color="auto" w:fill="FFFFFF"/>
              <w:jc w:val="both"/>
              <w:rPr>
                <w:rFonts w:ascii="Arial" w:hAnsi="Arial" w:cs="Arial"/>
                <w:color w:val="333333"/>
                <w:sz w:val="20"/>
                <w:szCs w:val="20"/>
                <w:lang w:eastAsia="es-CR"/>
              </w:rPr>
            </w:pPr>
          </w:p>
          <w:p w:rsidR="00CA6F4F" w:rsidRPr="00CA6F4F" w:rsidRDefault="00CA6F4F" w:rsidP="00CA6F4F">
            <w:pPr>
              <w:shd w:val="clear" w:color="auto" w:fill="FFFFFF"/>
              <w:jc w:val="both"/>
              <w:rPr>
                <w:rFonts w:ascii="Arial" w:hAnsi="Arial" w:cs="Arial"/>
                <w:color w:val="333333"/>
                <w:sz w:val="20"/>
                <w:szCs w:val="20"/>
                <w:lang w:eastAsia="es-CR"/>
              </w:rPr>
            </w:pPr>
          </w:p>
          <w:p w:rsidR="00CA6F4F" w:rsidRPr="00CA6F4F" w:rsidRDefault="00CA6F4F" w:rsidP="00CA6F4F">
            <w:pPr>
              <w:autoSpaceDE w:val="0"/>
              <w:autoSpaceDN w:val="0"/>
              <w:adjustRightInd w:val="0"/>
              <w:ind w:right="-91"/>
              <w:rPr>
                <w:rFonts w:ascii="Arial" w:eastAsia="Cambria" w:hAnsi="Arial" w:cs="Arial"/>
                <w:b/>
                <w:sz w:val="22"/>
                <w:szCs w:val="22"/>
                <w:u w:val="single"/>
                <w:lang w:eastAsia="en-US"/>
              </w:rPr>
            </w:pPr>
            <w:r w:rsidRPr="00CA6F4F">
              <w:rPr>
                <w:rFonts w:ascii="Arial" w:eastAsia="Cambria" w:hAnsi="Arial" w:cs="Arial"/>
                <w:b/>
                <w:sz w:val="22"/>
                <w:szCs w:val="22"/>
                <w:u w:val="single"/>
                <w:lang w:eastAsia="en-US"/>
              </w:rPr>
              <w:t xml:space="preserve">Escuela de Ciencias Sociales </w:t>
            </w:r>
          </w:p>
          <w:p w:rsidR="00CA6F4F" w:rsidRPr="00CA6F4F" w:rsidRDefault="00CA6F4F" w:rsidP="00CA6F4F">
            <w:pPr>
              <w:shd w:val="clear" w:color="auto" w:fill="FFFFFF"/>
              <w:jc w:val="both"/>
              <w:rPr>
                <w:rFonts w:ascii="Arial" w:hAnsi="Arial" w:cs="Arial"/>
                <w:color w:val="111111"/>
                <w:sz w:val="20"/>
                <w:szCs w:val="20"/>
              </w:rPr>
            </w:pPr>
          </w:p>
          <w:p w:rsidR="00CA6F4F" w:rsidRPr="00CA6F4F" w:rsidRDefault="00CA6F4F" w:rsidP="00CA6F4F">
            <w:pPr>
              <w:shd w:val="clear" w:color="auto" w:fill="FFFFFF"/>
              <w:jc w:val="both"/>
              <w:rPr>
                <w:rFonts w:ascii="Arial" w:hAnsi="Arial" w:cs="Arial"/>
                <w:i/>
                <w:color w:val="333333"/>
                <w:sz w:val="22"/>
                <w:szCs w:val="22"/>
                <w:lang w:eastAsia="es-CR"/>
              </w:rPr>
            </w:pPr>
            <w:r w:rsidRPr="00CA6F4F">
              <w:rPr>
                <w:rFonts w:ascii="Arial" w:hAnsi="Arial" w:cs="Arial"/>
                <w:i/>
                <w:color w:val="333333"/>
                <w:sz w:val="22"/>
                <w:szCs w:val="22"/>
                <w:lang w:eastAsia="es-CR"/>
              </w:rPr>
              <w:t xml:space="preserve">“Analizado el texto propuesto no se encuentran en el mismo, ataques inmediatos a la autonomía universitaria. Por lo demás, considero que no hay razones para oponerse a este Proyecto de Ley “Responsabilidad de las personas jurídicas sobre cohecho doméstico, soborno transnacional y otros delitos”, que se tramita en la Asamblea Legislativa de Costa Rica, mediante expediente No. 21.248, salvo aquellas de visión </w:t>
            </w:r>
            <w:r w:rsidRPr="00CA6F4F">
              <w:rPr>
                <w:rFonts w:ascii="Arial" w:hAnsi="Arial" w:cs="Arial"/>
                <w:i/>
                <w:color w:val="333333"/>
                <w:sz w:val="22"/>
                <w:szCs w:val="22"/>
                <w:lang w:eastAsia="es-CR"/>
              </w:rPr>
              <w:lastRenderedPageBreak/>
              <w:t>política, que no caben en este criterio técnico.”</w:t>
            </w:r>
          </w:p>
          <w:p w:rsidR="00CA6F4F" w:rsidRPr="00CA6F4F" w:rsidRDefault="00CA6F4F" w:rsidP="00CA6F4F">
            <w:pPr>
              <w:jc w:val="both"/>
              <w:rPr>
                <w:rFonts w:ascii="Arial" w:hAnsi="Arial" w:cs="Arial"/>
                <w:sz w:val="22"/>
                <w:szCs w:val="22"/>
              </w:rPr>
            </w:pPr>
          </w:p>
        </w:tc>
      </w:tr>
    </w:tbl>
    <w:p w:rsidR="008A3B39" w:rsidRPr="008A3B39" w:rsidRDefault="008A3B39" w:rsidP="008A3B39">
      <w:pPr>
        <w:jc w:val="both"/>
        <w:rPr>
          <w:rFonts w:ascii="Arial" w:hAnsi="Arial" w:cs="Arial"/>
          <w:b/>
        </w:rPr>
      </w:pPr>
    </w:p>
    <w:p w:rsidR="00917157" w:rsidRPr="000E564F" w:rsidRDefault="000E564F" w:rsidP="00CB739A">
      <w:pPr>
        <w:numPr>
          <w:ilvl w:val="0"/>
          <w:numId w:val="28"/>
        </w:numPr>
        <w:autoSpaceDE w:val="0"/>
        <w:autoSpaceDN w:val="0"/>
        <w:adjustRightInd w:val="0"/>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6B1B55" w:rsidRDefault="006B1B55" w:rsidP="006B1B55">
      <w:pPr>
        <w:contextualSpacing/>
        <w:jc w:val="both"/>
        <w:rPr>
          <w:rFonts w:ascii="Arial" w:hAnsi="Arial" w:cs="Arial"/>
          <w:b/>
          <w:lang w:val="es-CR"/>
        </w:rPr>
      </w:pPr>
    </w:p>
    <w:p w:rsidR="00CA6F4F" w:rsidRDefault="00CA6F4F" w:rsidP="006B1B55">
      <w:pPr>
        <w:contextualSpacing/>
        <w:jc w:val="both"/>
        <w:rPr>
          <w:rFonts w:ascii="Arial" w:hAnsi="Arial" w:cs="Arial"/>
          <w:b/>
          <w:lang w:val="es-CR"/>
        </w:rPr>
      </w:pPr>
    </w:p>
    <w:p w:rsidR="00CA6F4F" w:rsidRPr="00CA6F4F" w:rsidRDefault="00CA6F4F" w:rsidP="00CA6F4F">
      <w:pPr>
        <w:autoSpaceDE w:val="0"/>
        <w:autoSpaceDN w:val="0"/>
        <w:adjustRightInd w:val="0"/>
        <w:ind w:right="-91"/>
        <w:jc w:val="both"/>
        <w:rPr>
          <w:rFonts w:ascii="Arial" w:hAnsi="Arial" w:cs="Arial"/>
          <w:b/>
          <w:sz w:val="22"/>
          <w:szCs w:val="22"/>
          <w:lang w:val="es-CR"/>
        </w:rPr>
      </w:pPr>
      <w:r w:rsidRPr="00CA6F4F">
        <w:rPr>
          <w:rFonts w:ascii="Arial" w:hAnsi="Arial" w:cs="Arial"/>
          <w:b/>
          <w:sz w:val="22"/>
          <w:szCs w:val="22"/>
          <w:lang w:val="es-CR"/>
        </w:rPr>
        <w:t xml:space="preserve">PALABRAS CLAVE:   </w:t>
      </w:r>
      <w:r w:rsidRPr="00CA6F4F">
        <w:rPr>
          <w:rFonts w:ascii="Arial" w:hAnsi="Arial" w:cs="Arial"/>
          <w:sz w:val="22"/>
          <w:szCs w:val="22"/>
          <w:lang w:val="es-CR"/>
        </w:rPr>
        <w:t xml:space="preserve">Proyectos – Ley- </w:t>
      </w:r>
      <w:proofErr w:type="spellStart"/>
      <w:r w:rsidRPr="00CA6F4F">
        <w:rPr>
          <w:rFonts w:ascii="Arial" w:hAnsi="Arial" w:cs="Arial"/>
          <w:sz w:val="22"/>
          <w:szCs w:val="22"/>
          <w:lang w:val="es-CR"/>
        </w:rPr>
        <w:t>Exps</w:t>
      </w:r>
      <w:proofErr w:type="spellEnd"/>
      <w:r w:rsidRPr="00CA6F4F">
        <w:rPr>
          <w:rFonts w:ascii="Arial" w:hAnsi="Arial" w:cs="Arial"/>
          <w:sz w:val="22"/>
          <w:szCs w:val="22"/>
          <w:lang w:val="es-CR"/>
        </w:rPr>
        <w:t>. - 21.248</w:t>
      </w:r>
    </w:p>
    <w:p w:rsidR="00CF46CC" w:rsidRPr="00ED72F3" w:rsidRDefault="00CF46CC" w:rsidP="00CA6F4F">
      <w:pPr>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bookmarkStart w:id="0" w:name="_MON_1621250374"/>
    <w:bookmarkEnd w:id="0"/>
    <w:p w:rsidR="00ED72F3" w:rsidRPr="00B77B04" w:rsidRDefault="00F34C81" w:rsidP="00C6045C">
      <w:pPr>
        <w:ind w:left="851"/>
        <w:jc w:val="both"/>
        <w:rPr>
          <w:rFonts w:ascii="Arial" w:eastAsia="Cambria" w:hAnsi="Arial" w:cs="Arial"/>
          <w:sz w:val="22"/>
          <w:szCs w:val="22"/>
          <w:lang w:val="es-CR" w:eastAsia="en-US"/>
        </w:rPr>
      </w:pPr>
      <w:r>
        <w:rPr>
          <w:rFonts w:ascii="Arial" w:eastAsia="Cambria" w:hAnsi="Arial" w:cs="Arial"/>
          <w:sz w:val="22"/>
          <w:szCs w:val="22"/>
          <w:lang w:val="es-CR" w:eastAsia="en-US"/>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8" o:title=""/>
          </v:shape>
          <o:OLEObject Type="Embed" ProgID="Word.Document.12" ShapeID="_x0000_i1027" DrawAspect="Icon" ObjectID="_1621250416" r:id="rId9">
            <o:FieldCodes>\s</o:FieldCodes>
          </o:OLEObject>
        </w:object>
      </w:r>
      <w:bookmarkStart w:id="1" w:name="_GoBack"/>
      <w:bookmarkStart w:id="2" w:name="_MON_1621250397"/>
      <w:bookmarkEnd w:id="2"/>
      <w:r>
        <w:rPr>
          <w:rFonts w:ascii="Arial" w:eastAsia="Cambria" w:hAnsi="Arial" w:cs="Arial"/>
          <w:sz w:val="22"/>
          <w:szCs w:val="22"/>
          <w:lang w:val="es-CR" w:eastAsia="en-US"/>
        </w:rPr>
        <w:object w:dxaOrig="1539" w:dyaOrig="994">
          <v:shape id="_x0000_i1028" type="#_x0000_t75" style="width:77.25pt;height:49.5pt" o:ole="">
            <v:imagedata r:id="rId10" o:title=""/>
          </v:shape>
          <o:OLEObject Type="Embed" ProgID="Word.Document.8" ShapeID="_x0000_i1028" DrawAspect="Icon" ObjectID="_1621250417" r:id="rId11">
            <o:FieldCodes>\s</o:FieldCodes>
          </o:OLEObject>
        </w:object>
      </w:r>
      <w:bookmarkEnd w:id="1"/>
    </w:p>
    <w:sectPr w:rsidR="00ED72F3" w:rsidRPr="00B77B04" w:rsidSect="00CE0215">
      <w:headerReference w:type="default" r:id="rId12"/>
      <w:footerReference w:type="default" r:id="rId13"/>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02F" w:rsidRDefault="00D3702F">
      <w:r>
        <w:separator/>
      </w:r>
    </w:p>
  </w:endnote>
  <w:endnote w:type="continuationSeparator" w:id="0">
    <w:p w:rsidR="00D3702F" w:rsidRDefault="00D3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02F" w:rsidRDefault="00D3702F">
      <w:r>
        <w:separator/>
      </w:r>
    </w:p>
  </w:footnote>
  <w:footnote w:type="continuationSeparator" w:id="0">
    <w:p w:rsidR="00D3702F" w:rsidRDefault="00D37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477A87">
      <w:rPr>
        <w:rFonts w:ascii="Arial" w:eastAsia="Cambria" w:hAnsi="Arial" w:cs="Arial"/>
        <w:i/>
        <w:sz w:val="18"/>
        <w:szCs w:val="18"/>
        <w:lang w:val="es-ES_tradnl" w:eastAsia="x-none"/>
      </w:rPr>
      <w:t>20</w:t>
    </w:r>
    <w:r w:rsidRPr="00D958BC">
      <w:rPr>
        <w:rFonts w:ascii="Arial" w:eastAsia="Cambria" w:hAnsi="Arial" w:cs="Arial"/>
        <w:i/>
        <w:sz w:val="18"/>
        <w:szCs w:val="18"/>
        <w:lang w:val="es-ES_tradnl" w:eastAsia="x-none"/>
      </w:rPr>
      <w:t xml:space="preserve"> Artículo </w:t>
    </w:r>
    <w:r w:rsidR="00477A87">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77A87">
      <w:rPr>
        <w:rFonts w:ascii="Arial" w:eastAsia="Cambria" w:hAnsi="Arial" w:cs="Arial"/>
        <w:i/>
        <w:sz w:val="18"/>
        <w:szCs w:val="18"/>
        <w:lang w:val="es-ES_tradnl" w:eastAsia="x-none"/>
      </w:rPr>
      <w:t>05</w:t>
    </w:r>
    <w:r w:rsidR="005A7222">
      <w:rPr>
        <w:rFonts w:ascii="Arial" w:eastAsia="Cambria" w:hAnsi="Arial" w:cs="Arial"/>
        <w:i/>
        <w:sz w:val="18"/>
        <w:szCs w:val="18"/>
        <w:lang w:val="es-ES_tradnl" w:eastAsia="x-none"/>
      </w:rPr>
      <w:t xml:space="preserve"> de </w:t>
    </w:r>
    <w:r w:rsidR="00477A87">
      <w:rPr>
        <w:rFonts w:ascii="Arial" w:eastAsia="Cambria" w:hAnsi="Arial" w:cs="Arial"/>
        <w:i/>
        <w:sz w:val="18"/>
        <w:szCs w:val="18"/>
        <w:lang w:val="es-ES_tradnl" w:eastAsia="x-none"/>
      </w:rPr>
      <w:t>juni</w:t>
    </w:r>
    <w:r w:rsidR="000E564F">
      <w:rPr>
        <w:rFonts w:ascii="Arial" w:eastAsia="Cambria" w:hAnsi="Arial" w:cs="Arial"/>
        <w:i/>
        <w:sz w:val="18"/>
        <w:szCs w:val="18"/>
        <w:lang w:val="es-ES_tradnl" w:eastAsia="x-none"/>
      </w:rPr>
      <w:t>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34C81">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F850F6"/>
    <w:multiLevelType w:val="hybridMultilevel"/>
    <w:tmpl w:val="B49EBB64"/>
    <w:lvl w:ilvl="0" w:tplc="7A26A954">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F21CEC"/>
    <w:multiLevelType w:val="hybridMultilevel"/>
    <w:tmpl w:val="D4A8C438"/>
    <w:lvl w:ilvl="0" w:tplc="18E68876">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0E50387C"/>
    <w:multiLevelType w:val="hybridMultilevel"/>
    <w:tmpl w:val="425AF5FE"/>
    <w:lvl w:ilvl="0" w:tplc="34425682">
      <w:start w:val="1"/>
      <w:numFmt w:val="decimal"/>
      <w:lvlText w:val="%1."/>
      <w:lvlJc w:val="left"/>
      <w:pPr>
        <w:ind w:left="643" w:hanging="360"/>
      </w:pPr>
      <w:rPr>
        <w:rFonts w:hint="default"/>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6" w15:restartNumberingAfterBreak="0">
    <w:nsid w:val="0E6A2499"/>
    <w:multiLevelType w:val="hybridMultilevel"/>
    <w:tmpl w:val="0A303002"/>
    <w:lvl w:ilvl="0" w:tplc="C97654C8">
      <w:start w:val="1"/>
      <w:numFmt w:val="decimal"/>
      <w:lvlText w:val="%1."/>
      <w:lvlJc w:val="left"/>
      <w:pPr>
        <w:ind w:left="5747" w:hanging="360"/>
      </w:pPr>
      <w:rPr>
        <w:rFonts w:ascii="Arial" w:hAnsi="Arial" w:cs="Arial" w:hint="default"/>
        <w:b/>
        <w:i w:val="0"/>
        <w:sz w:val="24"/>
        <w:szCs w:val="24"/>
      </w:rPr>
    </w:lvl>
    <w:lvl w:ilvl="1" w:tplc="4232FD02">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A9173C0"/>
    <w:multiLevelType w:val="multilevel"/>
    <w:tmpl w:val="DB0CD540"/>
    <w:lvl w:ilvl="0">
      <w:start w:val="1"/>
      <w:numFmt w:val="lowerLetter"/>
      <w:lvlText w:val="%1."/>
      <w:lvlJc w:val="left"/>
      <w:pPr>
        <w:ind w:left="360" w:hanging="360"/>
      </w:pPr>
      <w:rPr>
        <w:b/>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F011408"/>
    <w:multiLevelType w:val="multilevel"/>
    <w:tmpl w:val="65EC692C"/>
    <w:lvl w:ilvl="0">
      <w:start w:val="1"/>
      <w:numFmt w:val="decimal"/>
      <w:lvlText w:val="%1."/>
      <w:lvlJc w:val="left"/>
      <w:pPr>
        <w:ind w:left="5747" w:hanging="360"/>
      </w:pPr>
      <w:rPr>
        <w:rFonts w:ascii="Arial" w:eastAsia="Arial" w:hAnsi="Arial" w:cs="Arial"/>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9E165C"/>
    <w:multiLevelType w:val="hybridMultilevel"/>
    <w:tmpl w:val="AD60BF62"/>
    <w:lvl w:ilvl="0" w:tplc="23864E38">
      <w:start w:val="1"/>
      <w:numFmt w:val="decimal"/>
      <w:lvlText w:val="%1."/>
      <w:lvlJc w:val="left"/>
      <w:pPr>
        <w:tabs>
          <w:tab w:val="num" w:pos="360"/>
        </w:tabs>
        <w:ind w:left="360" w:hanging="360"/>
      </w:pPr>
      <w:rPr>
        <w:rFonts w:ascii="Arial" w:hAnsi="Arial" w:cs="Arial" w:hint="default"/>
        <w:b/>
        <w:i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2"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CD22650"/>
    <w:multiLevelType w:val="hybridMultilevel"/>
    <w:tmpl w:val="03449E1E"/>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6" w15:restartNumberingAfterBreak="0">
    <w:nsid w:val="2EF34B3C"/>
    <w:multiLevelType w:val="hybridMultilevel"/>
    <w:tmpl w:val="6C068F98"/>
    <w:lvl w:ilvl="0" w:tplc="5B148A84">
      <w:start w:val="1"/>
      <w:numFmt w:val="decimal"/>
      <w:lvlText w:val="%1."/>
      <w:lvlJc w:val="left"/>
      <w:pPr>
        <w:ind w:left="360" w:hanging="360"/>
      </w:pPr>
      <w:rPr>
        <w:rFonts w:ascii="Arial" w:hAnsi="Arial" w:cs="Arial" w:hint="default"/>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23"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5"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6D2337D"/>
    <w:multiLevelType w:val="hybridMultilevel"/>
    <w:tmpl w:val="C91A89C4"/>
    <w:lvl w:ilvl="0" w:tplc="AEB8392C">
      <w:start w:val="4"/>
      <w:numFmt w:val="decimal"/>
      <w:lvlText w:val="%1."/>
      <w:lvlJc w:val="left"/>
      <w:pPr>
        <w:ind w:left="5747" w:hanging="360"/>
      </w:pPr>
      <w:rPr>
        <w:rFonts w:ascii="Arial" w:hAnsi="Arial" w:cs="Arial" w:hint="default"/>
        <w:b w:val="0"/>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48F476AE"/>
    <w:multiLevelType w:val="multilevel"/>
    <w:tmpl w:val="7312F958"/>
    <w:lvl w:ilvl="0">
      <w:start w:val="1"/>
      <w:numFmt w:val="decimal"/>
      <w:lvlText w:val="%1."/>
      <w:lvlJc w:val="left"/>
      <w:pPr>
        <w:ind w:left="5747"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521202"/>
    <w:multiLevelType w:val="hybridMultilevel"/>
    <w:tmpl w:val="07886ADC"/>
    <w:lvl w:ilvl="0" w:tplc="FC247A40">
      <w:start w:val="1"/>
      <w:numFmt w:val="lowerLetter"/>
      <w:lvlText w:val="%1."/>
      <w:lvlJc w:val="left"/>
      <w:pPr>
        <w:ind w:left="1320" w:hanging="960"/>
      </w:pPr>
      <w:rPr>
        <w:b/>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0"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2AF4F28"/>
    <w:multiLevelType w:val="hybridMultilevel"/>
    <w:tmpl w:val="3CB6A6C6"/>
    <w:lvl w:ilvl="0" w:tplc="3B14B72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A6D57C8"/>
    <w:multiLevelType w:val="hybridMultilevel"/>
    <w:tmpl w:val="2B2A54E4"/>
    <w:lvl w:ilvl="0" w:tplc="140A0017">
      <w:start w:val="1"/>
      <w:numFmt w:val="lowerLetter"/>
      <w:lvlText w:val="%1)"/>
      <w:lvlJc w:val="left"/>
      <w:pPr>
        <w:ind w:left="360" w:hanging="360"/>
      </w:pPr>
      <w:rPr>
        <w:rFonts w:hint="default"/>
        <w:b w:val="0"/>
        <w:sz w:val="24"/>
        <w:szCs w:val="24"/>
      </w:rPr>
    </w:lvl>
    <w:lvl w:ilvl="1" w:tplc="25382DE6">
      <w:start w:val="1"/>
      <w:numFmt w:val="lowerLetter"/>
      <w:lvlText w:val="%2."/>
      <w:lvlJc w:val="left"/>
      <w:pPr>
        <w:ind w:left="1080" w:hanging="360"/>
      </w:pPr>
      <w:rPr>
        <w:rFonts w:ascii="Arial" w:hAnsi="Arial" w:cs="Arial" w:hint="default"/>
        <w:b/>
        <w:sz w:val="24"/>
        <w:szCs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5"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21"/>
  </w:num>
  <w:num w:numId="4">
    <w:abstractNumId w:val="27"/>
  </w:num>
  <w:num w:numId="5">
    <w:abstractNumId w:val="39"/>
  </w:num>
  <w:num w:numId="6">
    <w:abstractNumId w:val="20"/>
  </w:num>
  <w:num w:numId="7">
    <w:abstractNumId w:val="17"/>
  </w:num>
  <w:num w:numId="8">
    <w:abstractNumId w:val="30"/>
  </w:num>
  <w:num w:numId="9">
    <w:abstractNumId w:val="36"/>
  </w:num>
  <w:num w:numId="10">
    <w:abstractNumId w:val="25"/>
  </w:num>
  <w:num w:numId="11">
    <w:abstractNumId w:val="22"/>
  </w:num>
  <w:num w:numId="12">
    <w:abstractNumId w:val="38"/>
  </w:num>
  <w:num w:numId="13">
    <w:abstractNumId w:val="8"/>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5"/>
  </w:num>
  <w:num w:numId="17">
    <w:abstractNumId w:val="23"/>
  </w:num>
  <w:num w:numId="18">
    <w:abstractNumId w:val="13"/>
  </w:num>
  <w:num w:numId="19">
    <w:abstractNumId w:val="33"/>
  </w:num>
  <w:num w:numId="20">
    <w:abstractNumId w:val="4"/>
  </w:num>
  <w:num w:numId="21">
    <w:abstractNumId w:val="34"/>
  </w:num>
  <w:num w:numId="22">
    <w:abstractNumId w:val="24"/>
  </w:num>
  <w:num w:numId="23">
    <w:abstractNumId w:val="6"/>
  </w:num>
  <w:num w:numId="24">
    <w:abstractNumId w:val="19"/>
  </w:num>
  <w:num w:numId="25">
    <w:abstractNumId w:val="31"/>
  </w:num>
  <w:num w:numId="26">
    <w:abstractNumId w:val="15"/>
  </w:num>
  <w:num w:numId="27">
    <w:abstractNumId w:val="26"/>
  </w:num>
  <w:num w:numId="28">
    <w:abstractNumId w:val="1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2"/>
  </w:num>
  <w:num w:numId="32">
    <w:abstractNumId w:val="3"/>
  </w:num>
  <w:num w:numId="33">
    <w:abstractNumId w:val="2"/>
  </w:num>
  <w:num w:numId="34">
    <w:abstractNumId w:val="11"/>
  </w:num>
  <w:num w:numId="35">
    <w:abstractNumId w:val="5"/>
  </w:num>
  <w:num w:numId="36">
    <w:abstractNumId w:val="10"/>
  </w:num>
  <w:num w:numId="37">
    <w:abstractNumId w:val="9"/>
  </w:num>
  <w:num w:numId="38">
    <w:abstractNumId w:val="28"/>
  </w:num>
  <w:num w:numId="39">
    <w:abstractNumId w:val="18"/>
  </w:num>
  <w:num w:numId="4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7A87"/>
    <w:rsid w:val="00480A91"/>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A6F4F"/>
    <w:rsid w:val="00CB0CB0"/>
    <w:rsid w:val="00CB0ED4"/>
    <w:rsid w:val="00CB1EFF"/>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CFB"/>
    <w:rsid w:val="00D43903"/>
    <w:rsid w:val="00D43FD9"/>
    <w:rsid w:val="00D4408D"/>
    <w:rsid w:val="00D44CBD"/>
    <w:rsid w:val="00D45874"/>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371AD"/>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Documento_de_Microsoft_Word_97-2003.doc"/><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ocumento_de_Microsoft_Word.docx"/><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A8BFB-6B8D-4C61-8F18-E848AA15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3</Pages>
  <Words>614</Words>
  <Characters>3378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146</cp:revision>
  <cp:lastPrinted>2019-05-22T19:35:00Z</cp:lastPrinted>
  <dcterms:created xsi:type="dcterms:W3CDTF">2018-05-02T21:37:00Z</dcterms:created>
  <dcterms:modified xsi:type="dcterms:W3CDTF">2019-06-05T20:34:00Z</dcterms:modified>
</cp:coreProperties>
</file>