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5F622D">
        <w:rPr>
          <w:rFonts w:ascii="Arial" w:hAnsi="Arial" w:cs="Arial"/>
          <w:b/>
          <w:bCs/>
          <w:iCs/>
          <w:sz w:val="26"/>
          <w:szCs w:val="22"/>
          <w:lang w:val="es-CR"/>
        </w:rPr>
        <w:t>734</w:t>
      </w:r>
      <w:bookmarkStart w:id="0" w:name="_GoBack"/>
      <w:bookmarkEnd w:id="0"/>
      <w:r w:rsidRPr="00D958BC">
        <w:rPr>
          <w:rFonts w:ascii="Arial" w:hAnsi="Arial" w:cs="Arial"/>
          <w:b/>
          <w:bCs/>
          <w:iCs/>
          <w:sz w:val="26"/>
          <w:szCs w:val="22"/>
          <w:lang w:val="es-CR"/>
        </w:rPr>
        <w:t>-201</w:t>
      </w:r>
      <w:r w:rsidR="00C70F02">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661A8B" w:rsidRPr="00C413F4" w:rsidTr="004F2645">
        <w:trPr>
          <w:trHeight w:val="593"/>
        </w:trPr>
        <w:tc>
          <w:tcPr>
            <w:tcW w:w="1312" w:type="dxa"/>
          </w:tcPr>
          <w:p w:rsidR="00661A8B" w:rsidRPr="00D958BC" w:rsidRDefault="00661A8B" w:rsidP="00661A8B">
            <w:pPr>
              <w:tabs>
                <w:tab w:val="right" w:pos="2100"/>
                <w:tab w:val="left" w:pos="2694"/>
              </w:tabs>
              <w:rPr>
                <w:rFonts w:ascii="Arial" w:eastAsia="SimSun" w:hAnsi="Arial" w:cs="Arial"/>
                <w:b/>
                <w:iCs/>
                <w:lang w:val="es-ES_tradnl" w:eastAsia="en-US"/>
              </w:rPr>
            </w:pPr>
            <w:r>
              <w:rPr>
                <w:rFonts w:ascii="Arial" w:eastAsia="SimSun" w:hAnsi="Arial" w:cs="Arial"/>
                <w:b/>
                <w:iCs/>
                <w:lang w:val="es-ES_tradnl" w:eastAsia="en-US"/>
              </w:rPr>
              <w:t>Pa</w:t>
            </w:r>
            <w:r w:rsidRPr="00D958BC">
              <w:rPr>
                <w:rFonts w:ascii="Arial" w:eastAsia="SimSun" w:hAnsi="Arial" w:cs="Arial"/>
                <w:b/>
                <w:iCs/>
                <w:lang w:val="es-ES_tradnl" w:eastAsia="en-US"/>
              </w:rPr>
              <w:t>ra:</w:t>
            </w:r>
          </w:p>
        </w:tc>
        <w:tc>
          <w:tcPr>
            <w:tcW w:w="7611" w:type="dxa"/>
          </w:tcPr>
          <w:p w:rsidR="00661A8B" w:rsidRDefault="00661A8B" w:rsidP="00661A8B">
            <w:pPr>
              <w:jc w:val="both"/>
              <w:rPr>
                <w:rFonts w:ascii="Arial" w:eastAsia="Cambria" w:hAnsi="Arial" w:cs="Arial"/>
                <w:sz w:val="22"/>
                <w:szCs w:val="22"/>
                <w:lang w:val="es-ES_tradnl" w:eastAsia="en-US"/>
              </w:rPr>
            </w:pPr>
            <w:r w:rsidRPr="00771F15">
              <w:rPr>
                <w:rFonts w:ascii="Arial" w:eastAsia="Cambria" w:hAnsi="Arial" w:cs="Arial"/>
                <w:sz w:val="22"/>
                <w:szCs w:val="22"/>
                <w:lang w:val="es-ES_tradnl" w:eastAsia="en-US"/>
              </w:rPr>
              <w:t xml:space="preserve">Ing. Luis Paulino Méndez Badilla, Rector </w:t>
            </w:r>
          </w:p>
          <w:p w:rsidR="007B6410" w:rsidRPr="00771F15" w:rsidRDefault="007B6410" w:rsidP="007B6410">
            <w:pPr>
              <w:ind w:left="45"/>
              <w:jc w:val="both"/>
              <w:rPr>
                <w:rFonts w:ascii="Arial" w:eastAsia="Cambria" w:hAnsi="Arial" w:cs="Arial"/>
                <w:sz w:val="22"/>
                <w:szCs w:val="22"/>
                <w:lang w:val="es-ES_tradnl" w:eastAsia="en-US"/>
              </w:rPr>
            </w:pPr>
            <w:r w:rsidRPr="00771F15">
              <w:rPr>
                <w:rFonts w:ascii="Arial" w:eastAsia="Cambria" w:hAnsi="Arial" w:cs="Arial"/>
                <w:sz w:val="22"/>
                <w:szCs w:val="22"/>
                <w:lang w:val="es-ES_tradnl" w:eastAsia="en-US"/>
              </w:rPr>
              <w:t>Dr. Humberto Villalta Solano, Vicerrector de Administración</w:t>
            </w:r>
          </w:p>
          <w:p w:rsidR="007B6410" w:rsidRPr="00771F15" w:rsidRDefault="007B6410" w:rsidP="007B6410">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B.Q. Grettel Castro Portuguez</w:t>
            </w:r>
            <w:r w:rsidRPr="00771F15">
              <w:rPr>
                <w:rFonts w:ascii="Arial" w:eastAsia="Cambria" w:hAnsi="Arial" w:cs="Arial"/>
                <w:sz w:val="22"/>
                <w:szCs w:val="22"/>
                <w:lang w:val="es-ES_tradnl" w:eastAsia="en-US"/>
              </w:rPr>
              <w:t>, Vicerrector</w:t>
            </w:r>
            <w:r>
              <w:rPr>
                <w:rFonts w:ascii="Arial" w:eastAsia="Cambria" w:hAnsi="Arial" w:cs="Arial"/>
                <w:sz w:val="22"/>
                <w:szCs w:val="22"/>
                <w:lang w:val="es-ES_tradnl" w:eastAsia="en-US"/>
              </w:rPr>
              <w:t>a</w:t>
            </w:r>
            <w:r w:rsidRPr="00771F15">
              <w:rPr>
                <w:rFonts w:ascii="Arial" w:eastAsia="Cambria" w:hAnsi="Arial" w:cs="Arial"/>
                <w:sz w:val="22"/>
                <w:szCs w:val="22"/>
                <w:lang w:val="es-ES_tradnl" w:eastAsia="en-US"/>
              </w:rPr>
              <w:t xml:space="preserve"> de Docencia </w:t>
            </w:r>
            <w:r>
              <w:rPr>
                <w:rFonts w:ascii="Arial" w:eastAsia="Cambria" w:hAnsi="Arial" w:cs="Arial"/>
                <w:sz w:val="22"/>
                <w:szCs w:val="22"/>
                <w:lang w:val="es-ES_tradnl" w:eastAsia="en-US"/>
              </w:rPr>
              <w:t>y Presidenta Consejo Docencia</w:t>
            </w:r>
          </w:p>
          <w:p w:rsidR="007B6410" w:rsidRPr="00771F15" w:rsidRDefault="007B6410" w:rsidP="007B6410">
            <w:pPr>
              <w:ind w:left="45"/>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Jorge Chaves Arce</w:t>
            </w:r>
            <w:r w:rsidRPr="00771F15">
              <w:rPr>
                <w:rFonts w:ascii="Arial" w:eastAsia="Cambria" w:hAnsi="Arial" w:cs="Arial"/>
                <w:sz w:val="22"/>
                <w:szCs w:val="22"/>
                <w:lang w:val="es-ES_tradnl" w:eastAsia="en-US"/>
              </w:rPr>
              <w:t xml:space="preserve">, Vicerrector de Investigación y Extensión </w:t>
            </w:r>
          </w:p>
          <w:p w:rsidR="007B6410" w:rsidRPr="00771F15" w:rsidRDefault="007B6410" w:rsidP="007B6410">
            <w:pPr>
              <w:ind w:left="45"/>
              <w:jc w:val="both"/>
              <w:rPr>
                <w:rFonts w:ascii="Arial" w:eastAsia="Cambria" w:hAnsi="Arial" w:cs="Arial"/>
                <w:sz w:val="22"/>
                <w:szCs w:val="22"/>
                <w:lang w:val="es-ES_tradnl" w:eastAsia="en-US"/>
              </w:rPr>
            </w:pPr>
            <w:r w:rsidRPr="00771F15">
              <w:rPr>
                <w:rFonts w:ascii="Arial" w:eastAsia="Cambria" w:hAnsi="Arial" w:cs="Arial"/>
                <w:sz w:val="22"/>
                <w:szCs w:val="22"/>
                <w:lang w:val="es-ES_tradnl" w:eastAsia="en-US"/>
              </w:rPr>
              <w:t xml:space="preserve">Dra. Claudia Madrizova </w:t>
            </w:r>
            <w:proofErr w:type="spellStart"/>
            <w:r w:rsidRPr="00771F15">
              <w:rPr>
                <w:rFonts w:ascii="Arial" w:eastAsia="Cambria" w:hAnsi="Arial" w:cs="Arial"/>
                <w:sz w:val="22"/>
                <w:szCs w:val="22"/>
                <w:lang w:val="es-ES_tradnl" w:eastAsia="en-US"/>
              </w:rPr>
              <w:t>Madrizova</w:t>
            </w:r>
            <w:proofErr w:type="spellEnd"/>
            <w:r w:rsidRPr="00771F15">
              <w:rPr>
                <w:rFonts w:ascii="Arial" w:eastAsia="Cambria" w:hAnsi="Arial" w:cs="Arial"/>
                <w:sz w:val="22"/>
                <w:szCs w:val="22"/>
                <w:lang w:val="es-ES_tradnl" w:eastAsia="en-US"/>
              </w:rPr>
              <w:t xml:space="preserve">, Vicerrectora de Vida Estudiantil y Servicios Académicos </w:t>
            </w:r>
          </w:p>
          <w:p w:rsidR="007B6410" w:rsidRPr="00771F15" w:rsidRDefault="007B6410" w:rsidP="007B6410">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Oscar López Villegas</w:t>
            </w:r>
            <w:r w:rsidRPr="00771F15">
              <w:rPr>
                <w:rFonts w:ascii="Arial" w:eastAsia="Cambria" w:hAnsi="Arial" w:cs="Arial"/>
                <w:sz w:val="22"/>
                <w:szCs w:val="22"/>
                <w:lang w:val="es-ES_tradnl" w:eastAsia="en-US"/>
              </w:rPr>
              <w:t xml:space="preserve">, Director </w:t>
            </w:r>
            <w:r>
              <w:rPr>
                <w:rFonts w:ascii="Arial" w:eastAsia="Cambria" w:hAnsi="Arial" w:cs="Arial"/>
                <w:sz w:val="22"/>
                <w:szCs w:val="22"/>
                <w:lang w:val="es-ES_tradnl" w:eastAsia="en-US"/>
              </w:rPr>
              <w:t xml:space="preserve">Campus Tecnológico Local </w:t>
            </w:r>
            <w:r w:rsidRPr="00771F15">
              <w:rPr>
                <w:rFonts w:ascii="Arial" w:eastAsia="Cambria" w:hAnsi="Arial" w:cs="Arial"/>
                <w:sz w:val="22"/>
                <w:szCs w:val="22"/>
                <w:lang w:val="es-ES_tradnl" w:eastAsia="en-US"/>
              </w:rPr>
              <w:t>San Carlos</w:t>
            </w:r>
          </w:p>
          <w:p w:rsidR="007B6410" w:rsidRPr="00771F15" w:rsidRDefault="007B6410" w:rsidP="007B6410">
            <w:pPr>
              <w:ind w:left="45"/>
              <w:jc w:val="both"/>
              <w:rPr>
                <w:rFonts w:ascii="Arial" w:eastAsia="Cambria" w:hAnsi="Arial" w:cs="Arial"/>
                <w:sz w:val="22"/>
                <w:szCs w:val="22"/>
                <w:lang w:val="es-ES_tradnl" w:eastAsia="en-US"/>
              </w:rPr>
            </w:pPr>
            <w:r w:rsidRPr="00771F15">
              <w:rPr>
                <w:rFonts w:ascii="Arial" w:eastAsia="Cambria" w:hAnsi="Arial" w:cs="Arial"/>
                <w:sz w:val="22"/>
                <w:szCs w:val="22"/>
                <w:lang w:val="es-ES_tradnl" w:eastAsia="en-US"/>
              </w:rPr>
              <w:t xml:space="preserve">Máster Ronald Bonilla Rodríguez, Director </w:t>
            </w:r>
            <w:r>
              <w:rPr>
                <w:rFonts w:ascii="Arial" w:eastAsia="Cambria" w:hAnsi="Arial" w:cs="Arial"/>
                <w:sz w:val="22"/>
                <w:szCs w:val="22"/>
                <w:lang w:val="es-ES_tradnl" w:eastAsia="en-US"/>
              </w:rPr>
              <w:t xml:space="preserve">Campus Tecnológico Local </w:t>
            </w:r>
            <w:r w:rsidRPr="00771F15">
              <w:rPr>
                <w:rFonts w:ascii="Arial" w:eastAsia="Cambria" w:hAnsi="Arial" w:cs="Arial"/>
                <w:sz w:val="22"/>
                <w:szCs w:val="22"/>
                <w:lang w:val="es-ES_tradnl" w:eastAsia="en-US"/>
              </w:rPr>
              <w:t>San José</w:t>
            </w:r>
          </w:p>
          <w:p w:rsidR="007B6410" w:rsidRPr="00771F15" w:rsidRDefault="007B6410" w:rsidP="007B6410">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Jean Carlo Miranda Fajardo</w:t>
            </w:r>
            <w:r w:rsidRPr="00771F15">
              <w:rPr>
                <w:rFonts w:ascii="Arial" w:eastAsia="Cambria" w:hAnsi="Arial" w:cs="Arial"/>
                <w:sz w:val="22"/>
                <w:szCs w:val="22"/>
                <w:lang w:val="es-ES_tradnl" w:eastAsia="en-US"/>
              </w:rPr>
              <w:t xml:space="preserve">, Director Centro Académico de </w:t>
            </w:r>
            <w:r>
              <w:rPr>
                <w:rFonts w:ascii="Arial" w:eastAsia="Cambria" w:hAnsi="Arial" w:cs="Arial"/>
                <w:sz w:val="22"/>
                <w:szCs w:val="22"/>
                <w:lang w:val="es-ES_tradnl" w:eastAsia="en-US"/>
              </w:rPr>
              <w:t xml:space="preserve">Limón </w:t>
            </w:r>
          </w:p>
          <w:p w:rsidR="007B6410" w:rsidRPr="00771F15" w:rsidRDefault="007B6410" w:rsidP="007B6410">
            <w:pPr>
              <w:ind w:left="45"/>
              <w:jc w:val="both"/>
              <w:rPr>
                <w:rFonts w:ascii="Arial" w:eastAsia="Cambria" w:hAnsi="Arial" w:cs="Arial"/>
                <w:sz w:val="22"/>
                <w:szCs w:val="22"/>
                <w:lang w:val="es-ES_tradnl" w:eastAsia="en-US"/>
              </w:rPr>
            </w:pPr>
            <w:r w:rsidRPr="00771F15">
              <w:rPr>
                <w:rFonts w:ascii="Arial" w:eastAsia="Cambria" w:hAnsi="Arial" w:cs="Arial"/>
                <w:sz w:val="22"/>
                <w:szCs w:val="22"/>
                <w:lang w:val="es-ES_tradnl" w:eastAsia="en-US"/>
              </w:rPr>
              <w:t>Dr. Roberto Pereira Arroyo, Director Centro Académico de Alajuela</w:t>
            </w:r>
          </w:p>
          <w:p w:rsidR="007B6410" w:rsidRDefault="007B6410" w:rsidP="007B6410">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M.A.E. José Antonio Sánchez Sanabria</w:t>
            </w:r>
            <w:r w:rsidRPr="00771F15">
              <w:rPr>
                <w:rFonts w:ascii="Arial" w:eastAsia="Cambria" w:hAnsi="Arial" w:cs="Arial"/>
                <w:sz w:val="22"/>
                <w:szCs w:val="22"/>
                <w:lang w:val="es-ES_tradnl" w:eastAsia="en-US"/>
              </w:rPr>
              <w:t>, Director Oficina de Planificación Institucional</w:t>
            </w:r>
          </w:p>
          <w:p w:rsidR="007B6410" w:rsidRDefault="007B6410" w:rsidP="007B6410">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Comunidad Institucional </w:t>
            </w:r>
          </w:p>
          <w:p w:rsidR="005A09E1" w:rsidRDefault="005A09E1" w:rsidP="00661A8B">
            <w:pPr>
              <w:jc w:val="both"/>
              <w:rPr>
                <w:rFonts w:ascii="Arial" w:hAnsi="Arial" w:cs="Arial"/>
                <w:sz w:val="22"/>
                <w:szCs w:val="22"/>
                <w:lang w:val="es-CR"/>
              </w:rPr>
            </w:pPr>
          </w:p>
          <w:p w:rsidR="005A09E1" w:rsidRPr="005A09E1" w:rsidRDefault="005A09E1" w:rsidP="00661A8B">
            <w:pPr>
              <w:jc w:val="both"/>
              <w:rPr>
                <w:rFonts w:ascii="Arial" w:eastAsia="Cambria" w:hAnsi="Arial" w:cs="Arial"/>
                <w:sz w:val="22"/>
                <w:szCs w:val="22"/>
                <w:lang w:val="es-ES_tradnl" w:eastAsia="en-US"/>
              </w:rPr>
            </w:pPr>
          </w:p>
        </w:tc>
      </w:tr>
      <w:tr w:rsidR="00661A8B" w:rsidRPr="00D958BC" w:rsidTr="004F2645">
        <w:trPr>
          <w:trHeight w:val="583"/>
        </w:trPr>
        <w:tc>
          <w:tcPr>
            <w:tcW w:w="1312" w:type="dxa"/>
          </w:tcPr>
          <w:p w:rsidR="00661A8B" w:rsidRPr="00D958BC" w:rsidRDefault="00661A8B" w:rsidP="00661A8B">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661A8B" w:rsidRPr="008E0D8C" w:rsidRDefault="00661A8B" w:rsidP="00661A8B">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M.A.E. Ana Damaris Quesada Murillo</w:t>
            </w:r>
            <w:r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 xml:space="preserve">Directora Ejecutiva </w:t>
            </w:r>
          </w:p>
          <w:p w:rsidR="00661A8B" w:rsidRPr="008E0D8C" w:rsidRDefault="00661A8B" w:rsidP="00661A8B">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Pr="008E0D8C">
              <w:rPr>
                <w:rFonts w:ascii="Arial" w:eastAsia="Cambria" w:hAnsi="Arial" w:cs="Arial"/>
                <w:sz w:val="22"/>
                <w:szCs w:val="22"/>
                <w:lang w:val="es-ES_tradnl" w:eastAsia="en-US"/>
              </w:rPr>
              <w:t>Consejo Institucional</w:t>
            </w:r>
          </w:p>
        </w:tc>
      </w:tr>
      <w:tr w:rsidR="00661A8B" w:rsidRPr="00D958BC" w:rsidTr="004F2645">
        <w:trPr>
          <w:trHeight w:val="253"/>
        </w:trPr>
        <w:tc>
          <w:tcPr>
            <w:tcW w:w="1312" w:type="dxa"/>
          </w:tcPr>
          <w:p w:rsidR="00661A8B" w:rsidRPr="00D958BC" w:rsidRDefault="00661A8B" w:rsidP="00661A8B">
            <w:pPr>
              <w:rPr>
                <w:rFonts w:ascii="Arial" w:eastAsia="SimSun" w:hAnsi="Arial" w:cs="Arial"/>
                <w:b/>
                <w:lang w:val="es-ES_tradnl" w:eastAsia="en-US"/>
              </w:rPr>
            </w:pPr>
          </w:p>
          <w:p w:rsidR="00661A8B" w:rsidRPr="00D958BC" w:rsidRDefault="00661A8B" w:rsidP="00661A8B">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661A8B" w:rsidRPr="008E0D8C" w:rsidRDefault="00661A8B" w:rsidP="00661A8B">
            <w:pPr>
              <w:tabs>
                <w:tab w:val="right" w:pos="2410"/>
                <w:tab w:val="left" w:pos="2694"/>
              </w:tabs>
              <w:rPr>
                <w:rFonts w:ascii="Arial" w:eastAsia="Cambria" w:hAnsi="Arial" w:cs="Arial"/>
                <w:b/>
                <w:sz w:val="22"/>
                <w:szCs w:val="22"/>
                <w:lang w:eastAsia="en-US"/>
              </w:rPr>
            </w:pPr>
          </w:p>
          <w:p w:rsidR="00661A8B" w:rsidRPr="008E0D8C" w:rsidRDefault="004F0EDF" w:rsidP="00661A8B">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14</w:t>
            </w:r>
            <w:r w:rsidR="005A09E1">
              <w:rPr>
                <w:rFonts w:ascii="Arial" w:eastAsia="Cambria" w:hAnsi="Arial" w:cs="Arial"/>
                <w:b/>
                <w:sz w:val="22"/>
                <w:szCs w:val="22"/>
                <w:lang w:val="es-ES_tradnl" w:eastAsia="en-US"/>
              </w:rPr>
              <w:t xml:space="preserve"> de agosto </w:t>
            </w:r>
            <w:r w:rsidR="00661A8B" w:rsidRPr="008E0D8C">
              <w:rPr>
                <w:rFonts w:ascii="Arial" w:eastAsia="Cambria" w:hAnsi="Arial" w:cs="Arial"/>
                <w:b/>
                <w:sz w:val="22"/>
                <w:szCs w:val="22"/>
                <w:lang w:val="es-ES_tradnl" w:eastAsia="en-US"/>
              </w:rPr>
              <w:t>de 201</w:t>
            </w:r>
            <w:r w:rsidR="00661A8B">
              <w:rPr>
                <w:rFonts w:ascii="Arial" w:eastAsia="Cambria" w:hAnsi="Arial" w:cs="Arial"/>
                <w:b/>
                <w:sz w:val="22"/>
                <w:szCs w:val="22"/>
                <w:lang w:val="es-ES_tradnl" w:eastAsia="en-US"/>
              </w:rPr>
              <w:t>9</w:t>
            </w:r>
          </w:p>
          <w:p w:rsidR="00661A8B" w:rsidRPr="008E0D8C" w:rsidRDefault="00661A8B" w:rsidP="00661A8B">
            <w:pPr>
              <w:jc w:val="both"/>
              <w:rPr>
                <w:rFonts w:ascii="Arial" w:eastAsia="Cambria" w:hAnsi="Arial" w:cs="Arial"/>
                <w:b/>
                <w:sz w:val="22"/>
                <w:szCs w:val="22"/>
                <w:lang w:val="es-ES_tradnl" w:eastAsia="en-US"/>
              </w:rPr>
            </w:pPr>
          </w:p>
        </w:tc>
      </w:tr>
      <w:tr w:rsidR="00661A8B" w:rsidRPr="005405AE" w:rsidTr="004F2645">
        <w:trPr>
          <w:trHeight w:val="253"/>
        </w:trPr>
        <w:tc>
          <w:tcPr>
            <w:tcW w:w="1312" w:type="dxa"/>
          </w:tcPr>
          <w:p w:rsidR="00661A8B" w:rsidRPr="00D958BC" w:rsidRDefault="00661A8B" w:rsidP="00661A8B">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661A8B" w:rsidRPr="00477A87" w:rsidRDefault="00661A8B" w:rsidP="004F0EDF">
            <w:pPr>
              <w:ind w:left="79" w:right="176"/>
              <w:jc w:val="both"/>
              <w:rPr>
                <w:rFonts w:ascii="Arial" w:eastAsia="Calibri" w:hAnsi="Arial" w:cs="Arial"/>
                <w:b/>
                <w:color w:val="000000"/>
                <w:sz w:val="22"/>
                <w:szCs w:val="22"/>
                <w:lang w:val="es-CR" w:eastAsia="en-US"/>
              </w:rPr>
            </w:pPr>
            <w:r w:rsidRPr="008F0835">
              <w:rPr>
                <w:rFonts w:ascii="Arial" w:eastAsia="Calibri" w:hAnsi="Arial" w:cs="Arial"/>
                <w:b/>
                <w:sz w:val="22"/>
                <w:szCs w:val="22"/>
              </w:rPr>
              <w:t>Sesión Ordinaria No. 3</w:t>
            </w:r>
            <w:r>
              <w:rPr>
                <w:rFonts w:ascii="Arial" w:eastAsia="Calibri" w:hAnsi="Arial" w:cs="Arial"/>
                <w:b/>
                <w:sz w:val="22"/>
                <w:szCs w:val="22"/>
              </w:rPr>
              <w:t>1</w:t>
            </w:r>
            <w:r w:rsidR="00000665">
              <w:rPr>
                <w:rFonts w:ascii="Arial" w:eastAsia="Calibri" w:hAnsi="Arial" w:cs="Arial"/>
                <w:b/>
                <w:sz w:val="22"/>
                <w:szCs w:val="22"/>
              </w:rPr>
              <w:t>3</w:t>
            </w:r>
            <w:r w:rsidR="004F0EDF">
              <w:rPr>
                <w:rFonts w:ascii="Arial" w:eastAsia="Calibri" w:hAnsi="Arial" w:cs="Arial"/>
                <w:b/>
                <w:sz w:val="22"/>
                <w:szCs w:val="22"/>
              </w:rPr>
              <w:t>1</w:t>
            </w:r>
            <w:r w:rsidRPr="008F0835">
              <w:rPr>
                <w:rFonts w:ascii="Arial" w:eastAsia="Calibri" w:hAnsi="Arial" w:cs="Arial"/>
                <w:b/>
                <w:sz w:val="22"/>
                <w:szCs w:val="22"/>
              </w:rPr>
              <w:t xml:space="preserve">, Artículo </w:t>
            </w:r>
            <w:r>
              <w:rPr>
                <w:rFonts w:ascii="Arial" w:eastAsia="Calibri" w:hAnsi="Arial" w:cs="Arial"/>
                <w:b/>
                <w:sz w:val="22"/>
                <w:szCs w:val="22"/>
              </w:rPr>
              <w:t>1</w:t>
            </w:r>
            <w:r w:rsidR="00310AFA">
              <w:rPr>
                <w:rFonts w:ascii="Arial" w:eastAsia="Calibri" w:hAnsi="Arial" w:cs="Arial"/>
                <w:b/>
                <w:sz w:val="22"/>
                <w:szCs w:val="22"/>
              </w:rPr>
              <w:t>3</w:t>
            </w:r>
            <w:r>
              <w:rPr>
                <w:rFonts w:ascii="Arial" w:eastAsia="Calibri" w:hAnsi="Arial" w:cs="Arial"/>
                <w:b/>
                <w:sz w:val="22"/>
                <w:szCs w:val="22"/>
              </w:rPr>
              <w:t>,</w:t>
            </w:r>
            <w:r w:rsidRPr="008F0835">
              <w:rPr>
                <w:rFonts w:ascii="Arial" w:eastAsia="Calibri" w:hAnsi="Arial" w:cs="Arial"/>
                <w:b/>
                <w:sz w:val="22"/>
                <w:szCs w:val="22"/>
              </w:rPr>
              <w:t xml:space="preserve"> del</w:t>
            </w:r>
            <w:r>
              <w:rPr>
                <w:rFonts w:ascii="Arial" w:eastAsia="Calibri" w:hAnsi="Arial" w:cs="Arial"/>
                <w:b/>
                <w:sz w:val="22"/>
                <w:szCs w:val="22"/>
              </w:rPr>
              <w:t xml:space="preserve"> </w:t>
            </w:r>
            <w:r w:rsidR="004F0EDF">
              <w:rPr>
                <w:rFonts w:ascii="Arial" w:eastAsia="Calibri" w:hAnsi="Arial" w:cs="Arial"/>
                <w:b/>
                <w:sz w:val="22"/>
                <w:szCs w:val="22"/>
              </w:rPr>
              <w:t>14</w:t>
            </w:r>
            <w:r w:rsidR="00000665">
              <w:rPr>
                <w:rFonts w:ascii="Arial" w:eastAsia="Calibri" w:hAnsi="Arial" w:cs="Arial"/>
                <w:b/>
                <w:sz w:val="22"/>
                <w:szCs w:val="22"/>
              </w:rPr>
              <w:t xml:space="preserve"> de agosto </w:t>
            </w:r>
            <w:r w:rsidRPr="008F0835">
              <w:rPr>
                <w:rFonts w:ascii="Arial" w:eastAsia="Calibri" w:hAnsi="Arial" w:cs="Arial"/>
                <w:b/>
                <w:sz w:val="22"/>
                <w:szCs w:val="22"/>
              </w:rPr>
              <w:t>de 201</w:t>
            </w:r>
            <w:r>
              <w:rPr>
                <w:rFonts w:ascii="Arial" w:eastAsia="Calibri" w:hAnsi="Arial" w:cs="Arial"/>
                <w:b/>
                <w:sz w:val="22"/>
                <w:szCs w:val="22"/>
              </w:rPr>
              <w:t>9</w:t>
            </w:r>
            <w:r w:rsidRPr="008F0835">
              <w:rPr>
                <w:rFonts w:ascii="Arial" w:eastAsia="Calibri" w:hAnsi="Arial" w:cs="Arial"/>
                <w:b/>
                <w:sz w:val="22"/>
                <w:szCs w:val="22"/>
              </w:rPr>
              <w:t>.</w:t>
            </w:r>
            <w:r>
              <w:rPr>
                <w:rFonts w:ascii="Arial" w:eastAsia="Calibri" w:hAnsi="Arial" w:cs="Arial"/>
                <w:b/>
                <w:sz w:val="22"/>
                <w:szCs w:val="22"/>
              </w:rPr>
              <w:t xml:space="preserve"> </w:t>
            </w:r>
            <w:r w:rsidR="004F0EDF" w:rsidRPr="004F0EDF">
              <w:rPr>
                <w:rFonts w:ascii="Arial" w:eastAsia="Cambria" w:hAnsi="Arial" w:cs="Arial"/>
                <w:b/>
                <w:bCs/>
                <w:sz w:val="22"/>
                <w:szCs w:val="22"/>
                <w:lang w:val="es-CR" w:eastAsia="en-US"/>
              </w:rPr>
              <w:t>Consulta a la Comunidad Institucional sobre propuesta de reforma del Estatuto Orgánico consistente en la derogatoria del inciso c del artículo 55 cuyo texto dice</w:t>
            </w:r>
            <w:r w:rsidR="004F0EDF">
              <w:rPr>
                <w:rFonts w:ascii="Arial" w:eastAsia="Cambria" w:hAnsi="Arial" w:cs="Arial"/>
                <w:b/>
                <w:bCs/>
                <w:sz w:val="22"/>
                <w:szCs w:val="22"/>
                <w:lang w:val="es-CR" w:eastAsia="en-US"/>
              </w:rPr>
              <w:t>:</w:t>
            </w:r>
            <w:r w:rsidR="004F0EDF" w:rsidRPr="004F0EDF">
              <w:rPr>
                <w:rFonts w:ascii="Arial" w:eastAsia="Cambria" w:hAnsi="Arial" w:cs="Arial"/>
                <w:b/>
                <w:bCs/>
                <w:sz w:val="22"/>
                <w:szCs w:val="22"/>
                <w:lang w:val="es-CR" w:eastAsia="en-US"/>
              </w:rPr>
              <w:t xml:space="preserve"> “</w:t>
            </w:r>
            <w:r w:rsidR="004F0EDF" w:rsidRPr="004F0EDF">
              <w:rPr>
                <w:rFonts w:ascii="Arial" w:eastAsia="Cambria" w:hAnsi="Arial" w:cs="Arial"/>
                <w:b/>
                <w:bCs/>
                <w:i/>
                <w:sz w:val="22"/>
                <w:szCs w:val="22"/>
                <w:lang w:val="es-CR" w:eastAsia="en-US"/>
              </w:rPr>
              <w:t>Bajo esta modalidad no se podrán aprobar apoyos para recibir beca de estudios de grado y postgrado ni para aprobación de proyectos de investigación y extensión o sus prórrogas”</w:t>
            </w:r>
            <w:r w:rsidR="004F0EDF" w:rsidRPr="004F0EDF">
              <w:rPr>
                <w:rFonts w:ascii="Arial" w:eastAsia="Cambria" w:hAnsi="Arial" w:cs="Arial"/>
                <w:b/>
                <w:bCs/>
                <w:sz w:val="22"/>
                <w:szCs w:val="22"/>
                <w:lang w:val="es-CR" w:eastAsia="en-US"/>
              </w:rPr>
              <w:t xml:space="preserve"> e inclusión de los Consejos de </w:t>
            </w:r>
            <w:r w:rsidR="007B6410" w:rsidRPr="004F0EDF">
              <w:rPr>
                <w:rFonts w:ascii="Arial" w:eastAsia="Cambria" w:hAnsi="Arial" w:cs="Arial"/>
                <w:b/>
                <w:bCs/>
                <w:sz w:val="22"/>
                <w:szCs w:val="22"/>
                <w:lang w:val="es-CR" w:eastAsia="en-US"/>
              </w:rPr>
              <w:t>unidad interna y de unidad desconcentrada</w:t>
            </w:r>
            <w:r w:rsidR="004F0EDF" w:rsidRPr="004F0EDF">
              <w:rPr>
                <w:rFonts w:ascii="Arial" w:eastAsia="Cambria" w:hAnsi="Arial" w:cs="Arial"/>
                <w:b/>
                <w:bCs/>
                <w:sz w:val="22"/>
                <w:szCs w:val="22"/>
                <w:lang w:val="es-CR" w:eastAsia="en-US"/>
              </w:rPr>
              <w:t xml:space="preserve"> para que puedan sesionar en modalidad de “consulta formal”.</w:t>
            </w:r>
            <w:r w:rsidR="004F0EDF" w:rsidRPr="004F0EDF">
              <w:rPr>
                <w:rFonts w:ascii="Arial" w:eastAsia="Cambria" w:hAnsi="Arial" w:cs="Arial"/>
                <w:bCs/>
                <w:i/>
                <w:sz w:val="22"/>
                <w:szCs w:val="22"/>
                <w:lang w:val="es-CR" w:eastAsia="en-US"/>
              </w:rPr>
              <w:t xml:space="preserve">  </w:t>
            </w:r>
          </w:p>
        </w:tc>
      </w:tr>
    </w:tbl>
    <w:p w:rsidR="00ED72F3" w:rsidRDefault="00ED72F3"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5A09E1" w:rsidRDefault="005A09E1" w:rsidP="007742A1">
      <w:pPr>
        <w:jc w:val="both"/>
        <w:rPr>
          <w:rFonts w:ascii="Arial" w:eastAsia="Cambria" w:hAnsi="Arial" w:cs="Arial"/>
          <w:lang w:val="es-ES_tradnl" w:eastAsia="en-US"/>
        </w:rPr>
      </w:pPr>
    </w:p>
    <w:p w:rsidR="007B6410" w:rsidRPr="007B6410" w:rsidRDefault="007B6410" w:rsidP="007B6410">
      <w:pPr>
        <w:rPr>
          <w:rFonts w:ascii="Arial" w:eastAsia="Calibri" w:hAnsi="Arial" w:cs="Arial"/>
          <w:b/>
          <w:bCs/>
          <w:lang w:val="es-CR" w:eastAsia="en-US"/>
        </w:rPr>
      </w:pPr>
      <w:r w:rsidRPr="007B6410">
        <w:rPr>
          <w:rFonts w:ascii="Arial" w:eastAsia="Calibri" w:hAnsi="Arial" w:cs="Arial"/>
          <w:b/>
          <w:bCs/>
          <w:lang w:val="es-CR" w:eastAsia="en-US"/>
        </w:rPr>
        <w:t>RESULTANDO QUE:</w:t>
      </w:r>
    </w:p>
    <w:p w:rsidR="007B6410" w:rsidRPr="007B6410" w:rsidRDefault="007B6410" w:rsidP="007B6410">
      <w:pPr>
        <w:rPr>
          <w:rFonts w:ascii="Arial" w:eastAsia="Calibri" w:hAnsi="Arial" w:cs="Arial"/>
          <w:b/>
          <w:bCs/>
          <w:lang w:val="es-CR" w:eastAsia="en-US"/>
        </w:rPr>
      </w:pPr>
    </w:p>
    <w:p w:rsidR="007B6410" w:rsidRPr="007B6410" w:rsidRDefault="007B6410" w:rsidP="007B6410">
      <w:pPr>
        <w:numPr>
          <w:ilvl w:val="0"/>
          <w:numId w:val="22"/>
        </w:numPr>
        <w:spacing w:after="160" w:line="252" w:lineRule="auto"/>
        <w:ind w:left="426" w:hanging="426"/>
        <w:contextualSpacing/>
        <w:jc w:val="both"/>
        <w:rPr>
          <w:rFonts w:ascii="Arial" w:eastAsia="Calibri" w:hAnsi="Arial" w:cs="Arial"/>
          <w:lang w:eastAsia="es-CR"/>
        </w:rPr>
      </w:pPr>
      <w:r w:rsidRPr="007B6410">
        <w:rPr>
          <w:rFonts w:ascii="Arial" w:eastAsia="Calibri" w:hAnsi="Arial" w:cs="Arial"/>
          <w:lang w:eastAsia="es-CR"/>
        </w:rPr>
        <w:t>El Artículo 55 del Estatuto Orgánico del Instituto Tecnológico de Costa Rica, establece lo siguiente:</w:t>
      </w:r>
    </w:p>
    <w:p w:rsidR="007B6410" w:rsidRPr="007B6410" w:rsidRDefault="007B6410" w:rsidP="007B6410">
      <w:pPr>
        <w:spacing w:after="160" w:line="252" w:lineRule="auto"/>
        <w:contextualSpacing/>
        <w:jc w:val="both"/>
        <w:rPr>
          <w:rFonts w:ascii="Arial" w:eastAsia="Calibri" w:hAnsi="Arial" w:cs="Arial"/>
          <w:lang w:eastAsia="es-CR"/>
        </w:rPr>
      </w:pPr>
    </w:p>
    <w:p w:rsidR="007B6410" w:rsidRPr="007B6410" w:rsidRDefault="007B6410" w:rsidP="007B6410">
      <w:pPr>
        <w:ind w:left="567" w:right="333"/>
        <w:jc w:val="both"/>
        <w:outlineLvl w:val="4"/>
        <w:rPr>
          <w:rFonts w:ascii="Arial" w:hAnsi="Arial" w:cs="Arial"/>
          <w:i/>
          <w:color w:val="111111"/>
          <w:sz w:val="20"/>
          <w:szCs w:val="20"/>
          <w:lang w:eastAsia="es-CR"/>
        </w:rPr>
      </w:pPr>
      <w:r w:rsidRPr="007B6410">
        <w:rPr>
          <w:rFonts w:ascii="Arial" w:hAnsi="Arial" w:cs="Arial"/>
          <w:color w:val="111111"/>
          <w:sz w:val="20"/>
          <w:szCs w:val="20"/>
          <w:lang w:eastAsia="es-CR"/>
        </w:rPr>
        <w:t>“</w:t>
      </w:r>
      <w:r w:rsidRPr="007B6410">
        <w:rPr>
          <w:rFonts w:ascii="Arial" w:hAnsi="Arial" w:cs="Arial"/>
          <w:i/>
          <w:color w:val="111111"/>
          <w:sz w:val="20"/>
          <w:szCs w:val="20"/>
          <w:lang w:eastAsia="es-CR"/>
        </w:rPr>
        <w:t>Artículo 55 Funcionamiento de los Consejos de Departamento y de Área</w:t>
      </w:r>
    </w:p>
    <w:p w:rsidR="007B6410" w:rsidRPr="007B6410" w:rsidRDefault="007B6410" w:rsidP="007B6410">
      <w:pPr>
        <w:ind w:left="851" w:right="333"/>
        <w:jc w:val="both"/>
        <w:rPr>
          <w:rFonts w:ascii="Arial" w:hAnsi="Arial" w:cs="Arial"/>
          <w:i/>
          <w:color w:val="111111"/>
          <w:sz w:val="20"/>
          <w:szCs w:val="20"/>
          <w:lang w:eastAsia="es-CR"/>
        </w:rPr>
      </w:pPr>
    </w:p>
    <w:p w:rsidR="007B6410" w:rsidRPr="007B6410" w:rsidRDefault="007B6410" w:rsidP="007B6410">
      <w:pPr>
        <w:ind w:left="567" w:right="333"/>
        <w:jc w:val="both"/>
        <w:rPr>
          <w:rFonts w:ascii="Arial" w:hAnsi="Arial" w:cs="Arial"/>
          <w:i/>
          <w:color w:val="111111"/>
          <w:sz w:val="20"/>
          <w:szCs w:val="20"/>
          <w:lang w:eastAsia="es-CR"/>
        </w:rPr>
      </w:pPr>
      <w:r w:rsidRPr="007B6410">
        <w:rPr>
          <w:rFonts w:ascii="Arial" w:hAnsi="Arial" w:cs="Arial"/>
          <w:i/>
          <w:color w:val="111111"/>
          <w:sz w:val="20"/>
          <w:szCs w:val="20"/>
          <w:lang w:eastAsia="es-CR"/>
        </w:rPr>
        <w:t>Los Consejos de Departamento podrán ser convocados por el Director por iniciativa propia o a solicitud del 25% de sus miembros, siempre y cuando al menos el 50% de los solicitantes sean profesores, en el caso del Consejo de Departamento académico o 50% de los solicitantes sean funcionarios administrativos, en el caso del Consejo de Departamento de apoyo académico.</w:t>
      </w:r>
    </w:p>
    <w:p w:rsidR="007B6410" w:rsidRPr="007B6410" w:rsidRDefault="007B6410" w:rsidP="007B6410">
      <w:pPr>
        <w:ind w:left="851" w:right="333"/>
        <w:jc w:val="both"/>
        <w:rPr>
          <w:rFonts w:ascii="Arial" w:hAnsi="Arial" w:cs="Arial"/>
          <w:i/>
          <w:color w:val="111111"/>
          <w:sz w:val="20"/>
          <w:szCs w:val="20"/>
          <w:lang w:eastAsia="es-CR"/>
        </w:rPr>
      </w:pPr>
    </w:p>
    <w:p w:rsidR="007B6410" w:rsidRPr="007B6410" w:rsidRDefault="007B6410" w:rsidP="007B6410">
      <w:pPr>
        <w:ind w:left="567" w:right="333"/>
        <w:jc w:val="both"/>
        <w:rPr>
          <w:rFonts w:ascii="Arial" w:hAnsi="Arial" w:cs="Arial"/>
          <w:i/>
          <w:color w:val="111111"/>
          <w:sz w:val="20"/>
          <w:szCs w:val="20"/>
          <w:lang w:eastAsia="es-CR"/>
        </w:rPr>
      </w:pPr>
      <w:r w:rsidRPr="007B6410">
        <w:rPr>
          <w:rFonts w:ascii="Arial" w:hAnsi="Arial" w:cs="Arial"/>
          <w:i/>
          <w:color w:val="111111"/>
          <w:sz w:val="20"/>
          <w:szCs w:val="20"/>
          <w:lang w:eastAsia="es-CR"/>
        </w:rPr>
        <w:t>Los Consejos de Departamento podrán sesionar en dos modalidades: en forma plenaria y en consulta formal.</w:t>
      </w:r>
    </w:p>
    <w:p w:rsidR="007B6410" w:rsidRPr="007B6410" w:rsidRDefault="007B6410" w:rsidP="007B6410">
      <w:pPr>
        <w:ind w:left="851" w:right="333"/>
        <w:jc w:val="both"/>
        <w:rPr>
          <w:rFonts w:ascii="Arial" w:hAnsi="Arial" w:cs="Arial"/>
          <w:i/>
          <w:color w:val="111111"/>
          <w:sz w:val="20"/>
          <w:szCs w:val="20"/>
          <w:lang w:eastAsia="es-CR"/>
        </w:rPr>
      </w:pPr>
    </w:p>
    <w:p w:rsidR="007B6410" w:rsidRPr="007B6410" w:rsidRDefault="007B6410" w:rsidP="007B6410">
      <w:pPr>
        <w:ind w:left="567" w:right="333"/>
        <w:jc w:val="both"/>
        <w:rPr>
          <w:rFonts w:ascii="Arial" w:hAnsi="Arial" w:cs="Arial"/>
          <w:i/>
          <w:color w:val="111111"/>
          <w:sz w:val="20"/>
          <w:szCs w:val="20"/>
          <w:lang w:eastAsia="es-CR"/>
        </w:rPr>
      </w:pPr>
      <w:r w:rsidRPr="007B6410">
        <w:rPr>
          <w:rFonts w:ascii="Arial" w:hAnsi="Arial" w:cs="Arial"/>
          <w:i/>
          <w:color w:val="111111"/>
          <w:sz w:val="20"/>
          <w:szCs w:val="20"/>
          <w:lang w:eastAsia="es-CR"/>
        </w:rPr>
        <w:lastRenderedPageBreak/>
        <w:t>En ambos casos, los acuerdos serán tomados por el voto afirmativo de la mayoría de los miembros participantes, salvo en aquellos casos en que el Estatuto Orgánico disponga algo diferente y el quórum, o cantidad mínima de participantes necesaria para que el Consejo de Departamento pueda tomar acuerdos válidos, será el 50% de sus integrantes.</w:t>
      </w:r>
    </w:p>
    <w:p w:rsidR="007B6410" w:rsidRPr="007B6410" w:rsidRDefault="007B6410" w:rsidP="007B6410">
      <w:pPr>
        <w:ind w:left="851" w:right="333"/>
        <w:jc w:val="both"/>
        <w:rPr>
          <w:rFonts w:ascii="Arial" w:hAnsi="Arial" w:cs="Arial"/>
          <w:i/>
          <w:color w:val="111111"/>
          <w:sz w:val="20"/>
          <w:szCs w:val="20"/>
          <w:lang w:eastAsia="es-CR"/>
        </w:rPr>
      </w:pPr>
    </w:p>
    <w:p w:rsidR="007B6410" w:rsidRPr="007B6410" w:rsidRDefault="007B6410" w:rsidP="007B6410">
      <w:pPr>
        <w:ind w:left="567" w:right="333"/>
        <w:jc w:val="both"/>
        <w:rPr>
          <w:rFonts w:ascii="Arial" w:hAnsi="Arial" w:cs="Arial"/>
          <w:i/>
          <w:color w:val="111111"/>
          <w:sz w:val="20"/>
          <w:szCs w:val="20"/>
          <w:lang w:eastAsia="es-CR"/>
        </w:rPr>
      </w:pPr>
      <w:r w:rsidRPr="007B6410">
        <w:rPr>
          <w:rFonts w:ascii="Arial" w:hAnsi="Arial" w:cs="Arial"/>
          <w:i/>
          <w:color w:val="111111"/>
          <w:sz w:val="20"/>
          <w:szCs w:val="20"/>
          <w:lang w:eastAsia="es-CR"/>
        </w:rPr>
        <w:t>En forma plenaria, el Consejo de Departamento sesionará ordinariamente al menos una vez cada mes y, extraordinariamente, toda vez que sea formalmente convocado.</w:t>
      </w:r>
    </w:p>
    <w:p w:rsidR="007B6410" w:rsidRPr="007B6410" w:rsidRDefault="007B6410" w:rsidP="007B6410">
      <w:pPr>
        <w:ind w:left="567" w:right="333"/>
        <w:jc w:val="both"/>
        <w:rPr>
          <w:rFonts w:ascii="Arial" w:hAnsi="Arial" w:cs="Arial"/>
          <w:i/>
          <w:color w:val="111111"/>
          <w:sz w:val="20"/>
          <w:szCs w:val="20"/>
          <w:lang w:eastAsia="es-CR"/>
        </w:rPr>
      </w:pPr>
      <w:r w:rsidRPr="007B6410">
        <w:rPr>
          <w:rFonts w:ascii="Arial" w:hAnsi="Arial" w:cs="Arial"/>
          <w:i/>
          <w:color w:val="111111"/>
          <w:sz w:val="20"/>
          <w:szCs w:val="20"/>
          <w:lang w:eastAsia="es-CR"/>
        </w:rPr>
        <w:t>En consulta formal, el Consejo de Departamento podrá sesionar como máximo una vez por semana y la sesión podrá permanecer abierta por un máximo de dos días hábiles.</w:t>
      </w:r>
    </w:p>
    <w:p w:rsidR="007B6410" w:rsidRPr="007B6410" w:rsidRDefault="007B6410" w:rsidP="007B6410">
      <w:pPr>
        <w:ind w:left="851" w:right="333"/>
        <w:jc w:val="both"/>
        <w:rPr>
          <w:rFonts w:ascii="Arial" w:hAnsi="Arial" w:cs="Arial"/>
          <w:i/>
          <w:color w:val="111111"/>
          <w:sz w:val="20"/>
          <w:szCs w:val="20"/>
          <w:lang w:eastAsia="es-CR"/>
        </w:rPr>
      </w:pPr>
    </w:p>
    <w:p w:rsidR="007B6410" w:rsidRPr="007B6410" w:rsidRDefault="007B6410" w:rsidP="007B6410">
      <w:pPr>
        <w:ind w:left="567" w:right="333"/>
        <w:jc w:val="both"/>
        <w:rPr>
          <w:rFonts w:ascii="Arial" w:hAnsi="Arial" w:cs="Arial"/>
          <w:i/>
          <w:color w:val="111111"/>
          <w:sz w:val="20"/>
          <w:szCs w:val="20"/>
          <w:lang w:eastAsia="es-CR"/>
        </w:rPr>
      </w:pPr>
      <w:r w:rsidRPr="007B6410">
        <w:rPr>
          <w:rFonts w:ascii="Arial" w:hAnsi="Arial" w:cs="Arial"/>
          <w:i/>
          <w:color w:val="111111"/>
          <w:sz w:val="20"/>
          <w:szCs w:val="20"/>
          <w:lang w:eastAsia="es-CR"/>
        </w:rPr>
        <w:t>Para sesionar bajo la modalidad de consulta formal, el Consejo de Departamento deberá cumplir las siguientes condiciones:</w:t>
      </w:r>
    </w:p>
    <w:p w:rsidR="007B6410" w:rsidRPr="007B6410" w:rsidRDefault="007B6410" w:rsidP="007B6410">
      <w:pPr>
        <w:ind w:left="851" w:right="333"/>
        <w:jc w:val="both"/>
        <w:rPr>
          <w:rFonts w:ascii="Arial" w:hAnsi="Arial" w:cs="Arial"/>
          <w:i/>
          <w:color w:val="111111"/>
          <w:sz w:val="20"/>
          <w:szCs w:val="20"/>
          <w:lang w:eastAsia="es-CR"/>
        </w:rPr>
      </w:pPr>
    </w:p>
    <w:p w:rsidR="007B6410" w:rsidRPr="007B6410" w:rsidRDefault="007B6410" w:rsidP="007B6410">
      <w:pPr>
        <w:ind w:left="1134" w:right="333" w:hanging="283"/>
        <w:jc w:val="both"/>
        <w:rPr>
          <w:rFonts w:ascii="Arial" w:hAnsi="Arial" w:cs="Arial"/>
          <w:i/>
          <w:color w:val="111111"/>
          <w:sz w:val="20"/>
          <w:szCs w:val="20"/>
          <w:lang w:eastAsia="es-CR"/>
        </w:rPr>
      </w:pPr>
      <w:r w:rsidRPr="007B6410">
        <w:rPr>
          <w:rFonts w:ascii="Arial" w:hAnsi="Arial" w:cs="Arial"/>
          <w:i/>
          <w:color w:val="111111"/>
          <w:sz w:val="20"/>
          <w:szCs w:val="20"/>
          <w:lang w:eastAsia="es-CR"/>
        </w:rPr>
        <w:t>a. Para sesionar bajo la modalidad de consulta formal el Consejo de Departamento deberá haber aprobado previamente sus normas internas de funcionamiento, en las cuales deberán definirse los diferentes aspectos operativos relacionados con el uso de este mecanismo.</w:t>
      </w:r>
    </w:p>
    <w:p w:rsidR="007B6410" w:rsidRPr="007B6410" w:rsidRDefault="007B6410" w:rsidP="007B6410">
      <w:pPr>
        <w:ind w:left="1134" w:right="333" w:hanging="283"/>
        <w:jc w:val="both"/>
        <w:rPr>
          <w:rFonts w:ascii="Arial" w:hAnsi="Arial" w:cs="Arial"/>
          <w:i/>
          <w:color w:val="111111"/>
          <w:sz w:val="20"/>
          <w:szCs w:val="20"/>
          <w:lang w:eastAsia="es-CR"/>
        </w:rPr>
      </w:pPr>
      <w:r w:rsidRPr="007B6410">
        <w:rPr>
          <w:rFonts w:ascii="Arial" w:hAnsi="Arial" w:cs="Arial"/>
          <w:i/>
          <w:color w:val="111111"/>
          <w:sz w:val="20"/>
          <w:szCs w:val="20"/>
          <w:lang w:eastAsia="es-CR"/>
        </w:rPr>
        <w:t>b. La convocatoria de la sesión del Consejo de Departamento bajo la modalidad de consulta formal deberá hacerse al menos con un día hábil de anticipación al inicio de la votación.</w:t>
      </w:r>
    </w:p>
    <w:p w:rsidR="007B6410" w:rsidRPr="007B6410" w:rsidRDefault="007B6410" w:rsidP="007B6410">
      <w:pPr>
        <w:ind w:left="1134" w:right="333" w:hanging="283"/>
        <w:jc w:val="both"/>
        <w:rPr>
          <w:rFonts w:ascii="Arial" w:hAnsi="Arial" w:cs="Arial"/>
          <w:i/>
          <w:color w:val="111111"/>
          <w:sz w:val="20"/>
          <w:szCs w:val="20"/>
          <w:lang w:eastAsia="es-CR"/>
        </w:rPr>
      </w:pPr>
      <w:r w:rsidRPr="007B6410">
        <w:rPr>
          <w:rFonts w:ascii="Arial" w:hAnsi="Arial" w:cs="Arial"/>
          <w:i/>
          <w:color w:val="111111"/>
          <w:sz w:val="20"/>
          <w:szCs w:val="20"/>
          <w:lang w:eastAsia="es-CR"/>
        </w:rPr>
        <w:t>c. Bajo esta modalidad no se podrán aprobar apoyos para recibir beca de estudios de grado y postgrado ni para aprobación de proyectos de investigación y extensión o sus prórrogas.</w:t>
      </w:r>
    </w:p>
    <w:p w:rsidR="007B6410" w:rsidRPr="007B6410" w:rsidRDefault="007B6410" w:rsidP="007B6410">
      <w:pPr>
        <w:ind w:left="1134" w:right="333" w:hanging="283"/>
        <w:jc w:val="both"/>
        <w:rPr>
          <w:rFonts w:ascii="Arial" w:hAnsi="Arial" w:cs="Arial"/>
          <w:i/>
          <w:color w:val="111111"/>
          <w:sz w:val="20"/>
          <w:szCs w:val="20"/>
          <w:lang w:eastAsia="es-CR"/>
        </w:rPr>
      </w:pPr>
      <w:r w:rsidRPr="007B6410">
        <w:rPr>
          <w:rFonts w:ascii="Arial" w:hAnsi="Arial" w:cs="Arial"/>
          <w:i/>
          <w:color w:val="111111"/>
          <w:sz w:val="20"/>
          <w:szCs w:val="20"/>
          <w:lang w:eastAsia="es-CR"/>
        </w:rPr>
        <w:t>d. Solo se podrán tomar acuerdos sobre asuntos en trámite ante órganos del Instituto u organizaciones externas que requieran un pronunciamiento urgente por parte de este consejo, conforme a cronogramas establecidos por dichos entes o sobre aquellos temas que, conforme a los reglamentos institucionales, estén expresamente autorizados para ser resueltos por esta modalidad.</w:t>
      </w:r>
    </w:p>
    <w:p w:rsidR="007B6410" w:rsidRPr="007B6410" w:rsidRDefault="007B6410" w:rsidP="007B6410">
      <w:pPr>
        <w:ind w:left="1134" w:right="333" w:hanging="283"/>
        <w:jc w:val="both"/>
        <w:rPr>
          <w:rFonts w:ascii="Arial" w:hAnsi="Arial" w:cs="Arial"/>
          <w:i/>
          <w:color w:val="111111"/>
          <w:sz w:val="20"/>
          <w:szCs w:val="20"/>
          <w:lang w:eastAsia="es-CR"/>
        </w:rPr>
      </w:pPr>
      <w:r w:rsidRPr="007B6410">
        <w:rPr>
          <w:rFonts w:ascii="Arial" w:hAnsi="Arial" w:cs="Arial"/>
          <w:i/>
          <w:color w:val="111111"/>
          <w:sz w:val="20"/>
          <w:szCs w:val="20"/>
          <w:lang w:eastAsia="es-CR"/>
        </w:rPr>
        <w:t>e. El tema sometido a conocimiento y resolución por parte del consejo debe ser conocido por sus integrantes de manera individual, sin que se requiera sesionar en forma plenaria para decidir sobre el asunto objeto de consulta.</w:t>
      </w:r>
    </w:p>
    <w:p w:rsidR="007B6410" w:rsidRPr="007B6410" w:rsidRDefault="007B6410" w:rsidP="007B6410">
      <w:pPr>
        <w:ind w:left="1134" w:right="333" w:hanging="283"/>
        <w:jc w:val="both"/>
        <w:rPr>
          <w:rFonts w:ascii="Arial" w:hAnsi="Arial" w:cs="Arial"/>
          <w:i/>
          <w:color w:val="111111"/>
          <w:sz w:val="20"/>
          <w:szCs w:val="20"/>
          <w:lang w:eastAsia="es-CR"/>
        </w:rPr>
      </w:pPr>
      <w:r w:rsidRPr="007B6410">
        <w:rPr>
          <w:rFonts w:ascii="Arial" w:hAnsi="Arial" w:cs="Arial"/>
          <w:i/>
          <w:color w:val="111111"/>
          <w:sz w:val="20"/>
          <w:szCs w:val="20"/>
          <w:lang w:eastAsia="es-CR"/>
        </w:rPr>
        <w:t>f. La presidencia deberá poner a disposición de los miembros del Consejo de Departamento, al momento de la convocatoria, la documentación necesaria para tomar la decisión.</w:t>
      </w:r>
    </w:p>
    <w:p w:rsidR="007B6410" w:rsidRPr="007B6410" w:rsidRDefault="007B6410" w:rsidP="007B6410">
      <w:pPr>
        <w:ind w:left="1134" w:right="333" w:hanging="283"/>
        <w:jc w:val="both"/>
        <w:rPr>
          <w:rFonts w:ascii="Arial" w:hAnsi="Arial" w:cs="Arial"/>
          <w:i/>
          <w:color w:val="111111"/>
          <w:sz w:val="20"/>
          <w:szCs w:val="20"/>
          <w:lang w:eastAsia="es-CR"/>
        </w:rPr>
      </w:pPr>
      <w:r w:rsidRPr="007B6410">
        <w:rPr>
          <w:rFonts w:ascii="Arial" w:hAnsi="Arial" w:cs="Arial"/>
          <w:i/>
          <w:color w:val="111111"/>
          <w:sz w:val="20"/>
          <w:szCs w:val="20"/>
          <w:lang w:eastAsia="es-CR"/>
        </w:rPr>
        <w:t>g. Para emitir el voto, garantizando la privacidad del mismo cuando corresponda, podrán utilizarse los medios formales, convencionales o electrónicos, que el Consejo de Departamento establezca en sus normas internas de funcionamiento.</w:t>
      </w:r>
    </w:p>
    <w:p w:rsidR="007B6410" w:rsidRPr="007B6410" w:rsidRDefault="007B6410" w:rsidP="007B6410">
      <w:pPr>
        <w:ind w:left="1134" w:right="333" w:hanging="283"/>
        <w:jc w:val="both"/>
        <w:rPr>
          <w:rFonts w:ascii="Arial" w:hAnsi="Arial" w:cs="Arial"/>
          <w:i/>
          <w:color w:val="111111"/>
          <w:sz w:val="20"/>
          <w:szCs w:val="20"/>
          <w:lang w:eastAsia="es-CR"/>
        </w:rPr>
      </w:pPr>
      <w:r w:rsidRPr="007B6410">
        <w:rPr>
          <w:rFonts w:ascii="Arial" w:hAnsi="Arial" w:cs="Arial"/>
          <w:i/>
          <w:color w:val="111111"/>
          <w:sz w:val="20"/>
          <w:szCs w:val="20"/>
          <w:lang w:eastAsia="es-CR"/>
        </w:rPr>
        <w:t>h.  En este tipo de sesión, la votación es irrevocable. Todo intento posterior de cambiar el voto será inválido.</w:t>
      </w:r>
    </w:p>
    <w:p w:rsidR="007B6410" w:rsidRPr="007B6410" w:rsidRDefault="007B6410" w:rsidP="007B6410">
      <w:pPr>
        <w:ind w:left="1134" w:right="333" w:hanging="283"/>
        <w:jc w:val="both"/>
        <w:rPr>
          <w:rFonts w:ascii="Arial" w:hAnsi="Arial" w:cs="Arial"/>
          <w:i/>
          <w:color w:val="111111"/>
          <w:sz w:val="20"/>
          <w:szCs w:val="20"/>
          <w:lang w:eastAsia="es-CR"/>
        </w:rPr>
      </w:pPr>
      <w:r w:rsidRPr="007B6410">
        <w:rPr>
          <w:rFonts w:ascii="Arial" w:hAnsi="Arial" w:cs="Arial"/>
          <w:i/>
          <w:color w:val="111111"/>
          <w:sz w:val="20"/>
          <w:szCs w:val="20"/>
          <w:lang w:eastAsia="es-CR"/>
        </w:rPr>
        <w:t>i.  El resultado de la consulta se consignará en un acta en la que se debe indicar el asunto consultado, la forma de convocatoria y el resultado de la votación. A este documento se deberá adjuntar los comprobantes de participación de los miembros del Consejo de Departamento que tomaron parte en la consulta.</w:t>
      </w:r>
    </w:p>
    <w:p w:rsidR="007B6410" w:rsidRPr="007B6410" w:rsidRDefault="007B6410" w:rsidP="007B6410">
      <w:pPr>
        <w:ind w:left="851" w:right="333"/>
        <w:jc w:val="both"/>
        <w:rPr>
          <w:rFonts w:ascii="Arial" w:hAnsi="Arial" w:cs="Arial"/>
          <w:i/>
          <w:color w:val="111111"/>
          <w:sz w:val="20"/>
          <w:szCs w:val="20"/>
          <w:lang w:eastAsia="es-CR"/>
        </w:rPr>
      </w:pPr>
    </w:p>
    <w:p w:rsidR="007B6410" w:rsidRPr="007B6410" w:rsidRDefault="007B6410" w:rsidP="007B6410">
      <w:pPr>
        <w:ind w:left="851" w:right="333"/>
        <w:jc w:val="both"/>
        <w:rPr>
          <w:rFonts w:ascii="Arial" w:hAnsi="Arial" w:cs="Arial"/>
          <w:i/>
          <w:color w:val="111111"/>
          <w:sz w:val="20"/>
          <w:szCs w:val="20"/>
          <w:lang w:eastAsia="es-CR"/>
        </w:rPr>
      </w:pPr>
      <w:r w:rsidRPr="007B6410">
        <w:rPr>
          <w:rFonts w:ascii="Arial" w:hAnsi="Arial" w:cs="Arial"/>
          <w:i/>
          <w:color w:val="111111"/>
          <w:sz w:val="20"/>
          <w:szCs w:val="20"/>
          <w:lang w:eastAsia="es-CR"/>
        </w:rPr>
        <w:t>Artículo modificado por el Consejo Institucional en la Sesión 2445, Artículo 9, del 01 de diciembre del 2005: Segunda Votación de la Modificación del Artículo 55 y eliminación del Artículo 67 del Estatuto Orgánico del Instituto Tecnológico de Costa Rica (Gaceta 196)</w:t>
      </w:r>
    </w:p>
    <w:p w:rsidR="007B6410" w:rsidRPr="007B6410" w:rsidRDefault="007B6410" w:rsidP="007B6410">
      <w:pPr>
        <w:ind w:left="851" w:right="333"/>
        <w:jc w:val="both"/>
        <w:rPr>
          <w:rFonts w:ascii="Arial" w:hAnsi="Arial" w:cs="Arial"/>
          <w:i/>
          <w:color w:val="111111"/>
          <w:sz w:val="20"/>
          <w:szCs w:val="20"/>
          <w:lang w:eastAsia="es-CR"/>
        </w:rPr>
      </w:pPr>
    </w:p>
    <w:p w:rsidR="007B6410" w:rsidRPr="007B6410" w:rsidRDefault="007B6410" w:rsidP="007B6410">
      <w:pPr>
        <w:ind w:left="851" w:right="333"/>
        <w:jc w:val="both"/>
        <w:rPr>
          <w:rFonts w:ascii="Arial" w:hAnsi="Arial" w:cs="Arial"/>
          <w:i/>
          <w:color w:val="111111"/>
          <w:sz w:val="20"/>
          <w:szCs w:val="20"/>
          <w:lang w:eastAsia="es-CR"/>
        </w:rPr>
      </w:pPr>
      <w:r w:rsidRPr="007B6410">
        <w:rPr>
          <w:rFonts w:ascii="Arial" w:hAnsi="Arial" w:cs="Arial"/>
          <w:i/>
          <w:color w:val="111111"/>
          <w:sz w:val="20"/>
          <w:szCs w:val="20"/>
          <w:lang w:eastAsia="es-CR"/>
        </w:rPr>
        <w:t>Los consejos de área funcionarán, en lo que corresponda, igual que los consejos de departamento.</w:t>
      </w:r>
    </w:p>
    <w:p w:rsidR="007B6410" w:rsidRPr="007B6410" w:rsidRDefault="007B6410" w:rsidP="007B6410">
      <w:pPr>
        <w:ind w:left="851" w:right="333"/>
        <w:jc w:val="both"/>
        <w:rPr>
          <w:rFonts w:ascii="Arial" w:hAnsi="Arial" w:cs="Arial"/>
          <w:i/>
          <w:iCs/>
          <w:color w:val="111111"/>
          <w:sz w:val="20"/>
          <w:szCs w:val="20"/>
          <w:lang w:eastAsia="es-CR"/>
        </w:rPr>
      </w:pPr>
    </w:p>
    <w:p w:rsidR="007B6410" w:rsidRPr="007B6410" w:rsidRDefault="007B6410" w:rsidP="007B6410">
      <w:pPr>
        <w:ind w:left="851" w:right="333"/>
        <w:jc w:val="both"/>
        <w:rPr>
          <w:rFonts w:ascii="Arial" w:hAnsi="Arial" w:cs="Arial"/>
          <w:i/>
          <w:color w:val="111111"/>
          <w:sz w:val="20"/>
          <w:szCs w:val="20"/>
          <w:lang w:eastAsia="es-CR"/>
        </w:rPr>
      </w:pPr>
      <w:r w:rsidRPr="007B6410">
        <w:rPr>
          <w:rFonts w:ascii="Arial" w:hAnsi="Arial" w:cs="Arial"/>
          <w:i/>
          <w:iCs/>
          <w:color w:val="111111"/>
          <w:sz w:val="20"/>
          <w:szCs w:val="20"/>
          <w:lang w:eastAsia="es-CR"/>
        </w:rPr>
        <w:t>Artículo modificado por el Consejo Institucional en la Sesión Ordinaria No. 2514, Artículo 15, del 31 de mayo del 2007 (Gaceta No. 225)”</w:t>
      </w:r>
    </w:p>
    <w:p w:rsidR="007B6410" w:rsidRPr="007B6410" w:rsidRDefault="007B6410" w:rsidP="007B6410">
      <w:pPr>
        <w:ind w:right="616"/>
        <w:jc w:val="both"/>
        <w:rPr>
          <w:rFonts w:ascii="Arial" w:eastAsia="Calibri" w:hAnsi="Arial" w:cs="Arial"/>
          <w:i/>
          <w:sz w:val="22"/>
          <w:szCs w:val="22"/>
          <w:lang w:eastAsia="en-US"/>
        </w:rPr>
      </w:pPr>
    </w:p>
    <w:p w:rsidR="007B6410" w:rsidRPr="007B6410" w:rsidRDefault="007B6410" w:rsidP="007B6410">
      <w:pPr>
        <w:numPr>
          <w:ilvl w:val="0"/>
          <w:numId w:val="22"/>
        </w:numPr>
        <w:spacing w:after="160" w:line="252" w:lineRule="auto"/>
        <w:ind w:left="426" w:hanging="426"/>
        <w:contextualSpacing/>
        <w:jc w:val="both"/>
        <w:rPr>
          <w:rFonts w:ascii="Arial" w:eastAsia="Calibri" w:hAnsi="Arial" w:cs="Arial"/>
          <w:lang w:val="es-CR" w:eastAsia="es-CR"/>
        </w:rPr>
      </w:pPr>
      <w:r w:rsidRPr="007B6410">
        <w:rPr>
          <w:rFonts w:ascii="Arial" w:eastAsia="Calibri" w:hAnsi="Arial" w:cs="Arial"/>
          <w:lang w:val="es-CR" w:eastAsia="es-CR"/>
        </w:rPr>
        <w:t xml:space="preserve">Las Políticas Generales 7 y 9, aprobadas por la Asamblea Institucional Representativa, en la </w:t>
      </w:r>
      <w:r w:rsidRPr="007B6410">
        <w:rPr>
          <w:rFonts w:ascii="Arial" w:eastAsia="Calibri" w:hAnsi="Arial" w:cs="Arial"/>
          <w:color w:val="000000"/>
          <w:sz w:val="23"/>
          <w:szCs w:val="23"/>
          <w:lang w:val="es-CR" w:eastAsia="en-US"/>
        </w:rPr>
        <w:t xml:space="preserve">Sesión Ordinaria AIR-88-2015, </w:t>
      </w:r>
      <w:r w:rsidRPr="007B6410">
        <w:rPr>
          <w:rFonts w:ascii="Arial" w:eastAsia="Calibri" w:hAnsi="Arial" w:cs="Arial"/>
          <w:lang w:val="es-CR" w:eastAsia="es-CR"/>
        </w:rPr>
        <w:t>establecen lo siguiente:</w:t>
      </w:r>
    </w:p>
    <w:p w:rsidR="007B6410" w:rsidRPr="007B6410" w:rsidRDefault="007B6410" w:rsidP="007B6410">
      <w:pPr>
        <w:autoSpaceDE w:val="0"/>
        <w:autoSpaceDN w:val="0"/>
        <w:adjustRightInd w:val="0"/>
        <w:rPr>
          <w:rFonts w:ascii="Arial" w:eastAsia="Calibri" w:hAnsi="Arial" w:cs="Arial"/>
          <w:color w:val="000000"/>
          <w:lang w:val="es-CR" w:eastAsia="en-US"/>
        </w:rPr>
      </w:pPr>
    </w:p>
    <w:p w:rsidR="007B6410" w:rsidRPr="007B6410" w:rsidRDefault="007B6410" w:rsidP="007B6410">
      <w:pPr>
        <w:ind w:left="1134" w:right="333" w:hanging="567"/>
        <w:jc w:val="both"/>
        <w:rPr>
          <w:rFonts w:ascii="Arial" w:hAnsi="Arial" w:cs="Arial"/>
          <w:i/>
          <w:color w:val="111111"/>
          <w:sz w:val="20"/>
          <w:szCs w:val="20"/>
          <w:lang w:eastAsia="es-CR"/>
        </w:rPr>
      </w:pPr>
      <w:r w:rsidRPr="007B6410">
        <w:rPr>
          <w:rFonts w:ascii="Arial" w:hAnsi="Arial" w:cs="Arial"/>
          <w:i/>
          <w:color w:val="111111"/>
          <w:sz w:val="20"/>
          <w:szCs w:val="20"/>
          <w:lang w:eastAsia="es-CR"/>
        </w:rPr>
        <w:lastRenderedPageBreak/>
        <w:t xml:space="preserve">“7. Se desarrollarán proyectos de investigación, extensión, acción social y desarrollo tecnológico, innovadores y de impacto científico, tecnológico y social conforme a los fines, principios, valores institucionales y a los ejes de conocimiento estratégicos. </w:t>
      </w:r>
    </w:p>
    <w:p w:rsidR="007B6410" w:rsidRPr="007B6410" w:rsidRDefault="007B6410" w:rsidP="007B6410">
      <w:pPr>
        <w:ind w:left="1134" w:right="333" w:hanging="283"/>
        <w:jc w:val="both"/>
        <w:rPr>
          <w:rFonts w:ascii="Arial" w:hAnsi="Arial" w:cs="Arial"/>
          <w:i/>
          <w:color w:val="111111"/>
          <w:sz w:val="20"/>
          <w:szCs w:val="20"/>
          <w:lang w:eastAsia="es-CR"/>
        </w:rPr>
      </w:pPr>
    </w:p>
    <w:p w:rsidR="007B6410" w:rsidRPr="007B6410" w:rsidRDefault="007B6410" w:rsidP="007B6410">
      <w:pPr>
        <w:ind w:left="1134" w:right="333" w:hanging="567"/>
        <w:jc w:val="both"/>
        <w:rPr>
          <w:rFonts w:ascii="Arial" w:hAnsi="Arial" w:cs="Arial"/>
          <w:i/>
          <w:color w:val="111111"/>
          <w:sz w:val="20"/>
          <w:szCs w:val="20"/>
          <w:lang w:eastAsia="es-CR"/>
        </w:rPr>
      </w:pPr>
      <w:r w:rsidRPr="007B6410">
        <w:rPr>
          <w:rFonts w:ascii="Arial" w:hAnsi="Arial" w:cs="Arial"/>
          <w:i/>
          <w:color w:val="111111"/>
          <w:sz w:val="20"/>
          <w:szCs w:val="20"/>
          <w:lang w:eastAsia="es-CR"/>
        </w:rPr>
        <w:t xml:space="preserve">9. Se promoverán los procesos de investigación, extensión y de desarrollo tecnológico integrados a la enseñanza aprendizaje en los niveles de grado y posgrado.” </w:t>
      </w:r>
    </w:p>
    <w:p w:rsidR="007B6410" w:rsidRPr="007B6410" w:rsidRDefault="007B6410" w:rsidP="007B6410">
      <w:pPr>
        <w:spacing w:after="160" w:line="252" w:lineRule="auto"/>
        <w:contextualSpacing/>
        <w:jc w:val="both"/>
        <w:rPr>
          <w:rFonts w:ascii="Arial" w:eastAsia="Calibri" w:hAnsi="Arial" w:cs="Arial"/>
          <w:lang w:val="es-CR" w:eastAsia="es-CR"/>
        </w:rPr>
      </w:pPr>
    </w:p>
    <w:p w:rsidR="007B6410" w:rsidRPr="007B6410" w:rsidRDefault="007B6410" w:rsidP="007B6410">
      <w:pPr>
        <w:numPr>
          <w:ilvl w:val="0"/>
          <w:numId w:val="22"/>
        </w:numPr>
        <w:spacing w:after="160" w:line="252" w:lineRule="auto"/>
        <w:ind w:left="426" w:hanging="426"/>
        <w:contextualSpacing/>
        <w:jc w:val="both"/>
        <w:rPr>
          <w:rFonts w:ascii="Arial" w:eastAsia="Calibri" w:hAnsi="Arial" w:cs="Arial"/>
          <w:lang w:val="es-CR" w:eastAsia="es-CR"/>
        </w:rPr>
      </w:pPr>
      <w:r w:rsidRPr="007B6410">
        <w:rPr>
          <w:rFonts w:ascii="Arial" w:eastAsia="Calibri" w:hAnsi="Arial" w:cs="Arial"/>
          <w:lang w:val="es-CR" w:eastAsia="es-CR"/>
        </w:rPr>
        <w:t>El Artículo 142 del Estatuto Orgánico del ITCR, dispone lo siguiente:</w:t>
      </w:r>
    </w:p>
    <w:p w:rsidR="007B6410" w:rsidRPr="007B6410" w:rsidRDefault="007B6410" w:rsidP="007B6410">
      <w:pPr>
        <w:spacing w:after="160" w:line="252" w:lineRule="auto"/>
        <w:contextualSpacing/>
        <w:jc w:val="both"/>
        <w:rPr>
          <w:rFonts w:ascii="Arial" w:eastAsia="Calibri" w:hAnsi="Arial" w:cs="Arial"/>
          <w:lang w:val="es-CR" w:eastAsia="es-CR"/>
        </w:rPr>
      </w:pPr>
    </w:p>
    <w:p w:rsidR="007B6410" w:rsidRPr="007B6410" w:rsidRDefault="007B6410" w:rsidP="007B6410">
      <w:pPr>
        <w:ind w:left="567" w:right="284"/>
        <w:jc w:val="both"/>
        <w:rPr>
          <w:rFonts w:ascii="Arial" w:eastAsia="Calibri" w:hAnsi="Arial" w:cs="Arial"/>
          <w:i/>
          <w:iCs/>
          <w:sz w:val="20"/>
          <w:szCs w:val="20"/>
          <w:lang w:val="es-CR" w:eastAsia="en-US"/>
        </w:rPr>
      </w:pPr>
      <w:r w:rsidRPr="007B6410">
        <w:rPr>
          <w:rFonts w:ascii="Arial" w:eastAsia="Calibri" w:hAnsi="Arial" w:cs="Arial"/>
          <w:i/>
          <w:iCs/>
          <w:sz w:val="22"/>
          <w:szCs w:val="22"/>
          <w:lang w:val="es-CR" w:eastAsia="en-US"/>
        </w:rPr>
        <w:t>“</w:t>
      </w:r>
      <w:r w:rsidRPr="007B6410">
        <w:rPr>
          <w:rFonts w:ascii="Arial" w:eastAsia="Calibri" w:hAnsi="Arial" w:cs="Arial"/>
          <w:i/>
          <w:iCs/>
          <w:sz w:val="20"/>
          <w:szCs w:val="20"/>
          <w:lang w:val="es-CR" w:eastAsia="en-US"/>
        </w:rPr>
        <w:t>Artículo 142</w:t>
      </w:r>
    </w:p>
    <w:p w:rsidR="007B6410" w:rsidRPr="007B6410" w:rsidRDefault="007B6410" w:rsidP="007B6410">
      <w:pPr>
        <w:ind w:left="567" w:right="284"/>
        <w:jc w:val="both"/>
        <w:rPr>
          <w:rFonts w:ascii="Arial" w:eastAsia="Calibri" w:hAnsi="Arial" w:cs="Arial"/>
          <w:i/>
          <w:iCs/>
          <w:sz w:val="20"/>
          <w:szCs w:val="20"/>
          <w:lang w:val="es-CR" w:eastAsia="en-US"/>
        </w:rPr>
      </w:pPr>
      <w:r w:rsidRPr="007B6410">
        <w:rPr>
          <w:rFonts w:ascii="Arial" w:eastAsia="Calibri" w:hAnsi="Arial" w:cs="Arial"/>
          <w:i/>
          <w:iCs/>
          <w:sz w:val="20"/>
          <w:szCs w:val="20"/>
          <w:lang w:val="es-CR" w:eastAsia="en-US"/>
        </w:rPr>
        <w:t>Las iniciativas de reforma e interpretación al Estatuto Orgánico tramitadas por el Consejo Institucional, cuyo alcance se encuentre dentro de su ámbito de competencia, serán estudiadas por una comisión permanente de este último.</w:t>
      </w:r>
    </w:p>
    <w:p w:rsidR="007B6410" w:rsidRPr="007B6410" w:rsidRDefault="007B6410" w:rsidP="007B6410">
      <w:pPr>
        <w:ind w:left="567" w:right="284"/>
        <w:jc w:val="both"/>
        <w:rPr>
          <w:rFonts w:ascii="Arial" w:eastAsia="Calibri" w:hAnsi="Arial" w:cs="Arial"/>
          <w:i/>
          <w:iCs/>
          <w:sz w:val="20"/>
          <w:szCs w:val="20"/>
          <w:lang w:val="es-CR" w:eastAsia="en-US"/>
        </w:rPr>
      </w:pPr>
      <w:r w:rsidRPr="007B6410">
        <w:rPr>
          <w:rFonts w:ascii="Arial" w:eastAsia="Calibri" w:hAnsi="Arial" w:cs="Arial"/>
          <w:i/>
          <w:iCs/>
          <w:sz w:val="20"/>
          <w:szCs w:val="20"/>
          <w:lang w:val="es-CR" w:eastAsia="en-US"/>
        </w:rPr>
        <w:t>El dictamen de la Comisión Permanente de Estatuto Orgánico del Consejo Institucional deberá comunicarse a la comunidad del Instituto por lo menos veinte días hábiles antes de que se inicie su discusión en el Consejo Institucional, para que los interesados puedan analizarlo y enviar las observaciones que estimen pertinentes.</w:t>
      </w:r>
    </w:p>
    <w:p w:rsidR="007B6410" w:rsidRPr="007B6410" w:rsidRDefault="007B6410" w:rsidP="007B6410">
      <w:pPr>
        <w:ind w:left="567" w:right="284"/>
        <w:jc w:val="both"/>
        <w:rPr>
          <w:rFonts w:ascii="Arial" w:eastAsia="Calibri" w:hAnsi="Arial" w:cs="Arial"/>
          <w:i/>
          <w:iCs/>
          <w:sz w:val="20"/>
          <w:szCs w:val="20"/>
          <w:lang w:val="es-CR" w:eastAsia="en-US"/>
        </w:rPr>
      </w:pPr>
    </w:p>
    <w:p w:rsidR="007B6410" w:rsidRPr="007B6410" w:rsidRDefault="007B6410" w:rsidP="007B6410">
      <w:pPr>
        <w:ind w:left="567" w:right="284"/>
        <w:jc w:val="both"/>
        <w:rPr>
          <w:rFonts w:ascii="Arial" w:eastAsia="Calibri" w:hAnsi="Arial" w:cs="Arial"/>
          <w:i/>
          <w:iCs/>
          <w:sz w:val="20"/>
          <w:szCs w:val="20"/>
          <w:lang w:val="es-CR" w:eastAsia="en-US"/>
        </w:rPr>
      </w:pPr>
      <w:r w:rsidRPr="007B6410">
        <w:rPr>
          <w:rFonts w:ascii="Arial" w:eastAsia="Calibri" w:hAnsi="Arial" w:cs="Arial"/>
          <w:i/>
          <w:iCs/>
          <w:sz w:val="20"/>
          <w:szCs w:val="20"/>
          <w:lang w:val="es-CR" w:eastAsia="en-US"/>
        </w:rPr>
        <w:t>Este tipo de reformas e interpretaciones al Estatuto Orgánico deberá ser aprobada por el Consejo Institucional en dos sesiones ordinarias y con al menos el voto afirmativo de las dos terceras partes de sus miembros.</w:t>
      </w:r>
    </w:p>
    <w:p w:rsidR="007B6410" w:rsidRPr="007B6410" w:rsidRDefault="007B6410" w:rsidP="007B6410">
      <w:pPr>
        <w:ind w:left="567" w:right="284"/>
        <w:jc w:val="both"/>
        <w:rPr>
          <w:rFonts w:ascii="Arial" w:eastAsia="Calibri" w:hAnsi="Arial" w:cs="Arial"/>
          <w:i/>
          <w:iCs/>
          <w:sz w:val="20"/>
          <w:szCs w:val="20"/>
          <w:lang w:val="es-CR" w:eastAsia="en-US"/>
        </w:rPr>
      </w:pPr>
    </w:p>
    <w:p w:rsidR="007B6410" w:rsidRPr="007B6410" w:rsidRDefault="007B6410" w:rsidP="007B6410">
      <w:pPr>
        <w:ind w:left="567" w:right="284"/>
        <w:jc w:val="both"/>
        <w:rPr>
          <w:rFonts w:ascii="Arial" w:eastAsia="Calibri" w:hAnsi="Arial" w:cs="Arial"/>
          <w:i/>
          <w:iCs/>
          <w:sz w:val="20"/>
          <w:szCs w:val="20"/>
          <w:lang w:val="es-CR" w:eastAsia="en-US"/>
        </w:rPr>
      </w:pPr>
      <w:r w:rsidRPr="007B6410">
        <w:rPr>
          <w:rFonts w:ascii="Arial" w:eastAsia="Calibri" w:hAnsi="Arial" w:cs="Arial"/>
          <w:i/>
          <w:iCs/>
          <w:sz w:val="20"/>
          <w:szCs w:val="20"/>
          <w:lang w:val="es-CR" w:eastAsia="en-US"/>
        </w:rPr>
        <w:t>El Consejo Institucional, aún dentro del ámbito de su competencia, no podrá realizar modificaciones ni interpretaciones a las reformas al Estatuto Orgánico aprobadas por la Asamblea Institucional Representativa, antes de que transcurran dos años de su entrada en vigencia”.</w:t>
      </w:r>
    </w:p>
    <w:p w:rsidR="007B6410" w:rsidRPr="007B6410" w:rsidRDefault="007B6410" w:rsidP="007B6410">
      <w:pPr>
        <w:jc w:val="both"/>
        <w:rPr>
          <w:rFonts w:ascii="Arial" w:eastAsia="Calibri" w:hAnsi="Arial" w:cs="Arial"/>
          <w:b/>
          <w:bCs/>
          <w:lang w:val="es-CR" w:eastAsia="en-US"/>
        </w:rPr>
      </w:pPr>
    </w:p>
    <w:p w:rsidR="007B6410" w:rsidRPr="007B6410" w:rsidRDefault="007B6410" w:rsidP="007B6410">
      <w:pPr>
        <w:numPr>
          <w:ilvl w:val="0"/>
          <w:numId w:val="22"/>
        </w:numPr>
        <w:spacing w:after="160" w:line="252" w:lineRule="auto"/>
        <w:ind w:left="426" w:hanging="426"/>
        <w:contextualSpacing/>
        <w:jc w:val="both"/>
        <w:rPr>
          <w:rFonts w:ascii="Arial" w:eastAsia="Calibri" w:hAnsi="Arial" w:cs="Arial"/>
          <w:lang w:val="es-CR" w:eastAsia="es-CR"/>
        </w:rPr>
      </w:pPr>
      <w:r w:rsidRPr="007B6410">
        <w:rPr>
          <w:rFonts w:ascii="Arial" w:eastAsia="Calibri" w:hAnsi="Arial" w:cs="Arial"/>
          <w:lang w:val="es-CR" w:eastAsia="es-CR"/>
        </w:rPr>
        <w:t xml:space="preserve">En la Sesión Ordinaria 3129, realizada el 31 de julio de 2019, el Dr. Luis Gerardo Meza Cascante, dejó presentada una propuesta de </w:t>
      </w:r>
      <w:r w:rsidRPr="007B6410">
        <w:rPr>
          <w:rFonts w:ascii="Arial" w:eastAsia="Calibri" w:hAnsi="Arial" w:cs="Arial"/>
          <w:bCs/>
        </w:rPr>
        <w:t xml:space="preserve">reforma del Estatuto Orgánico, consistente en la derogatoria del </w:t>
      </w:r>
      <w:r w:rsidRPr="007B6410">
        <w:rPr>
          <w:rFonts w:ascii="Arial" w:eastAsia="Calibri" w:hAnsi="Arial" w:cs="Arial"/>
          <w:lang w:val="es-CR" w:eastAsia="en-US"/>
        </w:rPr>
        <w:t xml:space="preserve">inciso c del artículo 55, cuyo texto dice: </w:t>
      </w:r>
      <w:r w:rsidRPr="007B6410">
        <w:rPr>
          <w:rFonts w:ascii="Arial" w:eastAsia="Calibri" w:hAnsi="Arial" w:cs="Arial"/>
          <w:i/>
          <w:lang w:val="es-CR" w:eastAsia="en-US"/>
        </w:rPr>
        <w:t>“</w:t>
      </w:r>
      <w:r w:rsidRPr="007B6410">
        <w:rPr>
          <w:rFonts w:ascii="Arial" w:eastAsia="Calibri" w:hAnsi="Arial" w:cs="Arial"/>
          <w:i/>
          <w:lang w:eastAsia="es-CR"/>
        </w:rPr>
        <w:t>Bajo esta modalidad no se podrán aprobar apoyos para recibir beca de estudios de grado y postgrado ni para aprobación de proyectos de investigación y extensión o sus prórrogas”.</w:t>
      </w:r>
    </w:p>
    <w:p w:rsidR="007B6410" w:rsidRPr="007B6410" w:rsidRDefault="007B6410" w:rsidP="007B6410">
      <w:pPr>
        <w:spacing w:after="160" w:line="252" w:lineRule="auto"/>
        <w:contextualSpacing/>
        <w:jc w:val="both"/>
        <w:rPr>
          <w:rFonts w:ascii="Arial" w:eastAsia="Calibri" w:hAnsi="Arial" w:cs="Arial"/>
          <w:lang w:val="es-CR" w:eastAsia="es-CR"/>
        </w:rPr>
      </w:pPr>
    </w:p>
    <w:p w:rsidR="007B6410" w:rsidRPr="007B6410" w:rsidRDefault="007B6410" w:rsidP="007B6410">
      <w:pPr>
        <w:numPr>
          <w:ilvl w:val="0"/>
          <w:numId w:val="22"/>
        </w:numPr>
        <w:spacing w:after="160" w:line="252" w:lineRule="auto"/>
        <w:ind w:left="426" w:hanging="426"/>
        <w:contextualSpacing/>
        <w:jc w:val="both"/>
        <w:rPr>
          <w:rFonts w:ascii="Arial" w:eastAsia="Calibri" w:hAnsi="Arial" w:cs="Arial"/>
          <w:lang w:val="es-CR" w:eastAsia="es-CR"/>
        </w:rPr>
      </w:pPr>
      <w:r w:rsidRPr="007B6410">
        <w:rPr>
          <w:rFonts w:ascii="Arial" w:eastAsia="Calibri" w:hAnsi="Arial" w:cs="Arial"/>
          <w:lang w:val="es-CR" w:eastAsia="es-CR"/>
        </w:rPr>
        <w:t xml:space="preserve">La Comisión de Estatuto Orgánico conoció y analizó, en la reunión 300-2019, realizada el 09 de agosto de 2019, la propuesta de </w:t>
      </w:r>
      <w:r w:rsidRPr="007B6410">
        <w:rPr>
          <w:rFonts w:ascii="Arial" w:eastAsia="Calibri" w:hAnsi="Arial" w:cs="Arial"/>
          <w:bCs/>
        </w:rPr>
        <w:t xml:space="preserve">reforma del Estatuto Orgánico, consistente en la derogatoria del </w:t>
      </w:r>
      <w:r w:rsidRPr="007B6410">
        <w:rPr>
          <w:rFonts w:ascii="Arial" w:eastAsia="Calibri" w:hAnsi="Arial" w:cs="Arial"/>
          <w:lang w:val="es-CR" w:eastAsia="en-US"/>
        </w:rPr>
        <w:t xml:space="preserve">inciso c del artículo 55, cuyo texto dice: </w:t>
      </w:r>
      <w:r w:rsidRPr="007B6410">
        <w:rPr>
          <w:rFonts w:ascii="Arial" w:eastAsia="Calibri" w:hAnsi="Arial" w:cs="Arial"/>
          <w:i/>
          <w:lang w:val="es-CR" w:eastAsia="en-US"/>
        </w:rPr>
        <w:t>“</w:t>
      </w:r>
      <w:r w:rsidRPr="007B6410">
        <w:rPr>
          <w:rFonts w:ascii="Arial" w:eastAsia="Calibri" w:hAnsi="Arial" w:cs="Arial"/>
          <w:i/>
          <w:lang w:eastAsia="es-CR"/>
        </w:rPr>
        <w:t>Bajo esta modalidad no se podrán aprobar apoyos para recibir beca de estudios de grado y postgrado ni para aprobación de proyectos de investigación y extensión o sus prórrogas”</w:t>
      </w:r>
      <w:r w:rsidRPr="007B6410">
        <w:rPr>
          <w:rFonts w:ascii="Arial" w:eastAsia="Calibri" w:hAnsi="Arial" w:cs="Arial"/>
          <w:lang w:eastAsia="es-CR"/>
        </w:rPr>
        <w:t xml:space="preserve"> y la dictaminó positivamente; agregando, como parte de la modificación, que los Consejos de Unidad Interna y de Unidad Desconcentrada puedan sesionar en la modalidad de “consulta formal”.</w:t>
      </w:r>
    </w:p>
    <w:p w:rsidR="007B6410" w:rsidRPr="007B6410" w:rsidRDefault="007B6410" w:rsidP="007B6410">
      <w:pPr>
        <w:jc w:val="both"/>
        <w:rPr>
          <w:rFonts w:ascii="Arial" w:eastAsia="Calibri" w:hAnsi="Arial" w:cs="Arial"/>
          <w:bCs/>
          <w:lang w:val="es-CR" w:eastAsia="en-US"/>
        </w:rPr>
      </w:pPr>
    </w:p>
    <w:p w:rsidR="007B6410" w:rsidRPr="007B6410" w:rsidRDefault="007B6410" w:rsidP="007B6410">
      <w:pPr>
        <w:jc w:val="both"/>
        <w:rPr>
          <w:rFonts w:ascii="Arial" w:eastAsia="Calibri" w:hAnsi="Arial" w:cs="Arial"/>
          <w:b/>
          <w:bCs/>
          <w:lang w:val="es-CR" w:eastAsia="en-US"/>
        </w:rPr>
      </w:pPr>
      <w:r w:rsidRPr="007B6410">
        <w:rPr>
          <w:rFonts w:ascii="Arial" w:eastAsia="Calibri" w:hAnsi="Arial" w:cs="Arial"/>
          <w:b/>
          <w:bCs/>
          <w:lang w:val="es-CR" w:eastAsia="en-US"/>
        </w:rPr>
        <w:t>CONSIDERANDO QUE:</w:t>
      </w:r>
    </w:p>
    <w:p w:rsidR="007B6410" w:rsidRPr="007B6410" w:rsidRDefault="007B6410" w:rsidP="007B6410">
      <w:pPr>
        <w:jc w:val="both"/>
        <w:rPr>
          <w:rFonts w:ascii="Arial" w:eastAsia="Calibri" w:hAnsi="Arial" w:cs="Arial"/>
          <w:b/>
          <w:bCs/>
          <w:lang w:val="es-CR" w:eastAsia="en-US"/>
        </w:rPr>
      </w:pPr>
    </w:p>
    <w:p w:rsidR="007B6410" w:rsidRPr="007B6410" w:rsidRDefault="007B6410" w:rsidP="007B6410">
      <w:pPr>
        <w:numPr>
          <w:ilvl w:val="0"/>
          <w:numId w:val="24"/>
        </w:numPr>
        <w:ind w:left="426" w:hanging="426"/>
        <w:contextualSpacing/>
        <w:jc w:val="both"/>
        <w:rPr>
          <w:rFonts w:ascii="Arial" w:eastAsia="Calibri" w:hAnsi="Arial" w:cs="Arial"/>
          <w:lang w:eastAsia="es-CR"/>
        </w:rPr>
      </w:pPr>
      <w:r w:rsidRPr="007B6410">
        <w:rPr>
          <w:rFonts w:ascii="Arial" w:eastAsia="Calibri" w:hAnsi="Arial" w:cs="Arial"/>
          <w:lang w:val="es-CR" w:eastAsia="es-CR"/>
        </w:rPr>
        <w:t>El funcionamiento de los Consejos de Departamento y de Área en la modalidad de consulta formal, se ha integrado de manera armoniosa al quehacer institucional y ha mostrado su potencial para facilitar el funcionamiento de los Consejos.</w:t>
      </w:r>
    </w:p>
    <w:p w:rsidR="007B6410" w:rsidRPr="007B6410" w:rsidRDefault="007B6410" w:rsidP="007B6410">
      <w:pPr>
        <w:spacing w:after="160" w:line="252" w:lineRule="auto"/>
        <w:contextualSpacing/>
        <w:jc w:val="both"/>
        <w:rPr>
          <w:rFonts w:ascii="Arial" w:eastAsia="Calibri" w:hAnsi="Arial" w:cs="Arial"/>
          <w:lang w:eastAsia="es-CR"/>
        </w:rPr>
      </w:pPr>
    </w:p>
    <w:p w:rsidR="007B6410" w:rsidRPr="007B6410" w:rsidRDefault="007B6410" w:rsidP="007B6410">
      <w:pPr>
        <w:numPr>
          <w:ilvl w:val="0"/>
          <w:numId w:val="24"/>
        </w:numPr>
        <w:spacing w:after="160" w:line="252" w:lineRule="auto"/>
        <w:ind w:left="426" w:hanging="426"/>
        <w:contextualSpacing/>
        <w:jc w:val="both"/>
        <w:rPr>
          <w:rFonts w:ascii="Arial" w:eastAsia="Calibri" w:hAnsi="Arial" w:cs="Arial"/>
          <w:lang w:eastAsia="es-CR"/>
        </w:rPr>
      </w:pPr>
      <w:r w:rsidRPr="007B6410">
        <w:rPr>
          <w:rFonts w:ascii="Arial" w:eastAsia="Calibri" w:hAnsi="Arial" w:cs="Arial"/>
          <w:lang w:eastAsia="es-CR"/>
        </w:rPr>
        <w:t xml:space="preserve">El crecimiento experimentado por el Instituto en la última década, que ha llevado a que actualmente exista un Campus Tecnológico Central, dos Campus Tecnológicos Locales y dos Centros Académicos, así como la diversificación de </w:t>
      </w:r>
      <w:r w:rsidRPr="007B6410">
        <w:rPr>
          <w:rFonts w:ascii="Arial" w:eastAsia="Calibri" w:hAnsi="Arial" w:cs="Arial"/>
          <w:lang w:eastAsia="es-CR"/>
        </w:rPr>
        <w:lastRenderedPageBreak/>
        <w:t>las actividades institucionales, especialmente las académicas con el fortalecimiento de la investigación y la extensión, dificulta que los Consejos de Departamento o de Área, sesionen en forma presencial de manera frecuente; emergiendo la modalidad de consulta formal, como una opción que potencia la atención de los temas y asuntos que deben ser resueltos por los Consejos.</w:t>
      </w:r>
    </w:p>
    <w:p w:rsidR="007B6410" w:rsidRPr="007B6410" w:rsidRDefault="007B6410" w:rsidP="007B6410">
      <w:pPr>
        <w:contextualSpacing/>
        <w:jc w:val="both"/>
        <w:rPr>
          <w:rFonts w:ascii="Arial" w:eastAsia="Calibri" w:hAnsi="Arial" w:cs="Arial"/>
          <w:lang w:eastAsia="es-CR"/>
        </w:rPr>
      </w:pPr>
    </w:p>
    <w:p w:rsidR="007B6410" w:rsidRPr="007B6410" w:rsidRDefault="007B6410" w:rsidP="007B6410">
      <w:pPr>
        <w:numPr>
          <w:ilvl w:val="0"/>
          <w:numId w:val="24"/>
        </w:numPr>
        <w:ind w:left="426" w:hanging="426"/>
        <w:contextualSpacing/>
        <w:jc w:val="both"/>
        <w:rPr>
          <w:rFonts w:ascii="Arial" w:eastAsia="Calibri" w:hAnsi="Arial" w:cs="Arial"/>
          <w:lang w:eastAsia="es-CR"/>
        </w:rPr>
      </w:pPr>
      <w:r w:rsidRPr="007B6410">
        <w:rPr>
          <w:rFonts w:ascii="Arial" w:eastAsia="Calibri" w:hAnsi="Arial" w:cs="Arial"/>
          <w:lang w:eastAsia="es-CR"/>
        </w:rPr>
        <w:t>La reforma del Estatuto Orgánico que creó el mecanismo de la consulta formal, como modalidad válida de funcionamiento de los Consejos de Departamento y de Área no contiene justificantes, para haber introducido la limitación que se contempla en el inciso c, de las condiciones establecidas en el artículo 55, para que se pueda sesionar de esa manera; a saber, que “</w:t>
      </w:r>
      <w:r w:rsidRPr="007B6410">
        <w:rPr>
          <w:rFonts w:ascii="Arial" w:eastAsia="Calibri" w:hAnsi="Arial" w:cs="Arial"/>
          <w:i/>
          <w:lang w:eastAsia="es-CR"/>
        </w:rPr>
        <w:t>Bajo esta modalidad no se podrán aprobar apoyos para recibir beca de estudios de grado y postgrado ni para aprobación de proyectos de investigación y extensión o sus prórrogas</w:t>
      </w:r>
      <w:r w:rsidRPr="007B6410">
        <w:rPr>
          <w:rFonts w:ascii="Arial" w:eastAsia="Calibri" w:hAnsi="Arial" w:cs="Arial"/>
          <w:lang w:eastAsia="es-CR"/>
        </w:rPr>
        <w:t>”.</w:t>
      </w:r>
    </w:p>
    <w:p w:rsidR="007B6410" w:rsidRPr="007B6410" w:rsidRDefault="007B6410" w:rsidP="007B6410">
      <w:pPr>
        <w:spacing w:after="160" w:line="252" w:lineRule="auto"/>
        <w:contextualSpacing/>
        <w:jc w:val="both"/>
        <w:rPr>
          <w:rFonts w:ascii="Arial" w:eastAsia="Calibri" w:hAnsi="Arial" w:cs="Arial"/>
          <w:lang w:eastAsia="es-CR"/>
        </w:rPr>
      </w:pPr>
    </w:p>
    <w:p w:rsidR="007B6410" w:rsidRPr="007B6410" w:rsidRDefault="007B6410" w:rsidP="007B6410">
      <w:pPr>
        <w:numPr>
          <w:ilvl w:val="0"/>
          <w:numId w:val="24"/>
        </w:numPr>
        <w:spacing w:after="160" w:line="252" w:lineRule="auto"/>
        <w:ind w:left="426" w:hanging="426"/>
        <w:contextualSpacing/>
        <w:jc w:val="both"/>
        <w:rPr>
          <w:rFonts w:ascii="Arial" w:eastAsia="Calibri" w:hAnsi="Arial" w:cs="Arial"/>
          <w:lang w:eastAsia="es-CR"/>
        </w:rPr>
      </w:pPr>
      <w:r w:rsidRPr="007B6410">
        <w:rPr>
          <w:rFonts w:ascii="Arial" w:eastAsia="Calibri" w:hAnsi="Arial" w:cs="Arial"/>
          <w:lang w:eastAsia="es-CR"/>
        </w:rPr>
        <w:t>No se identifican razones de tipo técnico o legal, que impidan que los Consejos de Departamento o de Área, puedan resolver sobre los apoyos, para recibir beca de estudios de grado o posgrado, o para la aprobación de proyectos de investigación y extensión o sus prórrogas, en modalidad de consulta formal si así lo permitiera el artículo 55 del Estatuto Orgánico.</w:t>
      </w:r>
    </w:p>
    <w:p w:rsidR="007B6410" w:rsidRPr="007B6410" w:rsidRDefault="007B6410" w:rsidP="007B6410">
      <w:pPr>
        <w:spacing w:after="160" w:line="252" w:lineRule="auto"/>
        <w:contextualSpacing/>
        <w:jc w:val="both"/>
        <w:rPr>
          <w:rFonts w:ascii="Arial" w:eastAsia="Calibri" w:hAnsi="Arial" w:cs="Arial"/>
          <w:lang w:eastAsia="es-CR"/>
        </w:rPr>
      </w:pPr>
    </w:p>
    <w:p w:rsidR="007B6410" w:rsidRPr="007B6410" w:rsidRDefault="007B6410" w:rsidP="007B6410">
      <w:pPr>
        <w:numPr>
          <w:ilvl w:val="0"/>
          <w:numId w:val="24"/>
        </w:numPr>
        <w:spacing w:after="160" w:line="252" w:lineRule="auto"/>
        <w:ind w:left="426" w:hanging="426"/>
        <w:contextualSpacing/>
        <w:jc w:val="both"/>
        <w:rPr>
          <w:rFonts w:ascii="Arial" w:eastAsia="Calibri" w:hAnsi="Arial" w:cs="Arial"/>
          <w:lang w:eastAsia="es-CR"/>
        </w:rPr>
      </w:pPr>
      <w:r w:rsidRPr="007B6410">
        <w:rPr>
          <w:rFonts w:ascii="Arial" w:eastAsia="Calibri" w:hAnsi="Arial" w:cs="Arial"/>
          <w:lang w:eastAsia="es-CR"/>
        </w:rPr>
        <w:t>La posibilidad de que los Consejos de Escuela o de Área Académica, aprueben proyectos de investigación o extensión o sus prórrogas, tiene potencial para contribuir a simplificar la tramitación interna de las propuestas de proyectos de esta naturaleza.</w:t>
      </w:r>
    </w:p>
    <w:p w:rsidR="007B6410" w:rsidRPr="007B6410" w:rsidRDefault="007B6410" w:rsidP="007B6410">
      <w:pPr>
        <w:spacing w:after="160" w:line="252" w:lineRule="auto"/>
        <w:contextualSpacing/>
        <w:jc w:val="both"/>
        <w:rPr>
          <w:rFonts w:ascii="Arial" w:eastAsia="Calibri" w:hAnsi="Arial" w:cs="Arial"/>
          <w:lang w:eastAsia="es-CR"/>
        </w:rPr>
      </w:pPr>
    </w:p>
    <w:p w:rsidR="007B6410" w:rsidRPr="007B6410" w:rsidRDefault="007B6410" w:rsidP="007B6410">
      <w:pPr>
        <w:numPr>
          <w:ilvl w:val="0"/>
          <w:numId w:val="24"/>
        </w:numPr>
        <w:spacing w:after="160" w:line="252" w:lineRule="auto"/>
        <w:ind w:left="426" w:hanging="426"/>
        <w:contextualSpacing/>
        <w:jc w:val="both"/>
        <w:rPr>
          <w:rFonts w:ascii="Arial" w:eastAsia="Calibri" w:hAnsi="Arial" w:cs="Arial"/>
          <w:lang w:eastAsia="es-CR"/>
        </w:rPr>
      </w:pPr>
      <w:r w:rsidRPr="007B6410">
        <w:rPr>
          <w:rFonts w:ascii="Arial" w:eastAsia="Calibri" w:hAnsi="Arial" w:cs="Arial"/>
          <w:lang w:eastAsia="es-CR"/>
        </w:rPr>
        <w:t>La versión vigente del artículo 55 del Estatuto Orgánico, no contempla el funcionamiento mediante la modalidad de “consulta formal”, de los Consejos de Unidad Interna y de Unidad Desconcentrada.  El accionar de este tipo de consejos puede beneficiarse, de igual manera que ha sucedido con los Consejos de Departamentos Académicos y de Área, del funcionamiento en la modalidad de “consulta formal”, razón por la que es conveniente y oportuno modificar el párrafo final del artículo 55, para que este tipo de consejos puedan sesionar bajo esa modalidad.</w:t>
      </w:r>
    </w:p>
    <w:p w:rsidR="007B6410" w:rsidRPr="007B6410" w:rsidRDefault="007B6410" w:rsidP="007B6410">
      <w:pPr>
        <w:spacing w:after="160" w:line="252" w:lineRule="auto"/>
        <w:contextualSpacing/>
        <w:jc w:val="both"/>
        <w:rPr>
          <w:rFonts w:ascii="Arial" w:eastAsia="Calibri" w:hAnsi="Arial" w:cs="Arial"/>
          <w:lang w:eastAsia="es-CR"/>
        </w:rPr>
      </w:pPr>
    </w:p>
    <w:p w:rsidR="007B6410" w:rsidRPr="007B6410" w:rsidRDefault="007B6410" w:rsidP="007B6410">
      <w:pPr>
        <w:numPr>
          <w:ilvl w:val="0"/>
          <w:numId w:val="24"/>
        </w:numPr>
        <w:spacing w:after="160" w:line="252" w:lineRule="auto"/>
        <w:ind w:left="426" w:hanging="426"/>
        <w:contextualSpacing/>
        <w:jc w:val="both"/>
        <w:rPr>
          <w:rFonts w:ascii="Arial" w:eastAsia="Calibri" w:hAnsi="Arial" w:cs="Arial"/>
          <w:lang w:eastAsia="es-CR"/>
        </w:rPr>
      </w:pPr>
      <w:r w:rsidRPr="007B6410">
        <w:rPr>
          <w:rFonts w:ascii="Arial" w:eastAsia="Calibri" w:hAnsi="Arial" w:cs="Arial"/>
          <w:lang w:eastAsia="es-CR"/>
        </w:rPr>
        <w:t xml:space="preserve">La Comisión de Estatuto Orgánico, dictaminó de manera positiva, la reforma del artículo 55 del Estatuto Orgánico, consistente en la eliminación del inciso c, </w:t>
      </w:r>
      <w:r w:rsidRPr="007B6410">
        <w:rPr>
          <w:rFonts w:ascii="Arial" w:eastAsia="Calibri" w:hAnsi="Arial" w:cs="Arial"/>
          <w:lang w:val="es-CR" w:eastAsia="en-US"/>
        </w:rPr>
        <w:t xml:space="preserve">cuyo texto dice: </w:t>
      </w:r>
      <w:r w:rsidRPr="007B6410">
        <w:rPr>
          <w:rFonts w:ascii="Arial" w:eastAsia="Calibri" w:hAnsi="Arial" w:cs="Arial"/>
          <w:i/>
          <w:lang w:val="es-CR" w:eastAsia="en-US"/>
        </w:rPr>
        <w:t>“</w:t>
      </w:r>
      <w:r w:rsidRPr="007B6410">
        <w:rPr>
          <w:rFonts w:ascii="Arial" w:eastAsia="Calibri" w:hAnsi="Arial" w:cs="Arial"/>
          <w:i/>
          <w:lang w:eastAsia="es-CR"/>
        </w:rPr>
        <w:t>Bajo esta modalidad no se podrán aprobar apoyos para recibir beca de estudios de grado y postgrado ni para aprobación de proyectos de investigación y extensión o sus prórrogas”</w:t>
      </w:r>
      <w:r w:rsidRPr="007B6410">
        <w:rPr>
          <w:rFonts w:ascii="Arial" w:eastAsia="Calibri" w:hAnsi="Arial" w:cs="Arial"/>
          <w:lang w:eastAsia="es-CR"/>
        </w:rPr>
        <w:t xml:space="preserve"> y acordó incorporar como parte de la reforma, que los Consejos de Unidad Interna y de Unidad Desconcentrada, puedan sesionar también en la modalidad de “consulta formal”.</w:t>
      </w:r>
    </w:p>
    <w:p w:rsidR="007B6410" w:rsidRPr="007B6410" w:rsidRDefault="007B6410" w:rsidP="007B6410">
      <w:pPr>
        <w:jc w:val="both"/>
        <w:rPr>
          <w:rFonts w:ascii="Arial" w:eastAsia="Calibri" w:hAnsi="Arial" w:cs="Arial"/>
          <w:b/>
          <w:bCs/>
          <w:lang w:val="es-CR" w:eastAsia="en-US"/>
        </w:rPr>
      </w:pPr>
    </w:p>
    <w:p w:rsidR="007B6410" w:rsidRPr="007B6410" w:rsidRDefault="007B6410" w:rsidP="007B6410">
      <w:pPr>
        <w:jc w:val="both"/>
        <w:rPr>
          <w:rFonts w:ascii="Arial" w:eastAsia="Calibri" w:hAnsi="Arial" w:cs="Arial"/>
          <w:b/>
          <w:bCs/>
          <w:lang w:val="es-CR" w:eastAsia="en-US"/>
        </w:rPr>
      </w:pPr>
      <w:r w:rsidRPr="007B6410">
        <w:rPr>
          <w:rFonts w:ascii="Arial" w:eastAsia="Calibri" w:hAnsi="Arial" w:cs="Arial"/>
          <w:b/>
          <w:bCs/>
          <w:lang w:val="es-CR" w:eastAsia="en-US"/>
        </w:rPr>
        <w:t>SE</w:t>
      </w:r>
      <w:r>
        <w:rPr>
          <w:rFonts w:ascii="Arial" w:eastAsia="Calibri" w:hAnsi="Arial" w:cs="Arial"/>
          <w:b/>
          <w:bCs/>
          <w:lang w:val="es-CR" w:eastAsia="en-US"/>
        </w:rPr>
        <w:t xml:space="preserve"> ACUERDA</w:t>
      </w:r>
      <w:r w:rsidRPr="007B6410">
        <w:rPr>
          <w:rFonts w:ascii="Arial" w:eastAsia="Calibri" w:hAnsi="Arial" w:cs="Arial"/>
          <w:b/>
          <w:bCs/>
          <w:lang w:val="es-CR" w:eastAsia="en-US"/>
        </w:rPr>
        <w:t>:</w:t>
      </w:r>
    </w:p>
    <w:p w:rsidR="007B6410" w:rsidRPr="007B6410" w:rsidRDefault="007B6410" w:rsidP="007B6410">
      <w:pPr>
        <w:jc w:val="both"/>
        <w:rPr>
          <w:rFonts w:ascii="Arial" w:eastAsia="Calibri" w:hAnsi="Arial" w:cs="Arial"/>
          <w:b/>
          <w:bCs/>
          <w:lang w:val="es-CR" w:eastAsia="en-US"/>
        </w:rPr>
      </w:pPr>
    </w:p>
    <w:p w:rsidR="007B6410" w:rsidRDefault="007B6410" w:rsidP="007B6410">
      <w:pPr>
        <w:numPr>
          <w:ilvl w:val="0"/>
          <w:numId w:val="25"/>
        </w:numPr>
        <w:spacing w:after="160" w:line="252" w:lineRule="auto"/>
        <w:ind w:left="426" w:hanging="426"/>
        <w:contextualSpacing/>
        <w:jc w:val="both"/>
        <w:rPr>
          <w:rFonts w:ascii="Arial" w:hAnsi="Arial" w:cs="Arial"/>
          <w:lang w:val="es-CR"/>
        </w:rPr>
      </w:pPr>
      <w:r w:rsidRPr="007B6410">
        <w:rPr>
          <w:rFonts w:ascii="Arial" w:hAnsi="Arial" w:cs="Arial"/>
          <w:lang w:val="es-CR"/>
        </w:rPr>
        <w:t>Someter a consulta de la Comunidad Institucional, en cumplimiento de lo dispuesto en el Artículo 142 del Estatuto Orgánico del ITCR y por espacio de veinte días hábiles, la propuesta de modificación del Estatuto Orgánico, consistente en:</w:t>
      </w:r>
    </w:p>
    <w:p w:rsidR="007B6410" w:rsidRPr="007B6410" w:rsidRDefault="007B6410" w:rsidP="007B6410">
      <w:pPr>
        <w:spacing w:after="160" w:line="252" w:lineRule="auto"/>
        <w:ind w:left="426"/>
        <w:contextualSpacing/>
        <w:jc w:val="both"/>
        <w:rPr>
          <w:rFonts w:ascii="Arial" w:hAnsi="Arial" w:cs="Arial"/>
          <w:lang w:val="es-CR"/>
        </w:rPr>
      </w:pPr>
    </w:p>
    <w:p w:rsidR="007B6410" w:rsidRPr="007B6410" w:rsidRDefault="007B6410" w:rsidP="007B6410">
      <w:pPr>
        <w:numPr>
          <w:ilvl w:val="1"/>
          <w:numId w:val="23"/>
        </w:numPr>
        <w:spacing w:after="160" w:line="252" w:lineRule="auto"/>
        <w:contextualSpacing/>
        <w:jc w:val="both"/>
        <w:rPr>
          <w:rFonts w:ascii="Arial" w:hAnsi="Arial" w:cs="Arial"/>
          <w:i/>
          <w:lang w:val="es-CR"/>
        </w:rPr>
      </w:pPr>
      <w:r w:rsidRPr="007B6410">
        <w:rPr>
          <w:rFonts w:ascii="Arial" w:hAnsi="Arial" w:cs="Arial"/>
          <w:lang w:val="es-CR"/>
        </w:rPr>
        <w:t xml:space="preserve">La </w:t>
      </w:r>
      <w:r w:rsidRPr="007B6410">
        <w:rPr>
          <w:rFonts w:ascii="Arial" w:eastAsia="Calibri" w:hAnsi="Arial" w:cs="Arial"/>
          <w:bCs/>
        </w:rPr>
        <w:t xml:space="preserve">derogatoria del </w:t>
      </w:r>
      <w:r w:rsidRPr="007B6410">
        <w:rPr>
          <w:rFonts w:ascii="Arial" w:eastAsia="Calibri" w:hAnsi="Arial" w:cs="Arial"/>
          <w:lang w:val="es-CR" w:eastAsia="en-US"/>
        </w:rPr>
        <w:t xml:space="preserve">inciso c del artículo 55, cuyo texto dice: </w:t>
      </w:r>
      <w:r w:rsidRPr="007B6410">
        <w:rPr>
          <w:rFonts w:ascii="Arial" w:eastAsia="Calibri" w:hAnsi="Arial" w:cs="Arial"/>
          <w:i/>
          <w:lang w:val="es-CR" w:eastAsia="en-US"/>
        </w:rPr>
        <w:t>“</w:t>
      </w:r>
      <w:r w:rsidRPr="007B6410">
        <w:rPr>
          <w:rFonts w:ascii="Arial" w:eastAsia="Calibri" w:hAnsi="Arial" w:cs="Arial"/>
          <w:i/>
          <w:lang w:eastAsia="es-CR"/>
        </w:rPr>
        <w:t>Bajo esta modalidad no se podrán aprobar apoyos para recibir beca de estudios de grado y postgrado ni para aprobación de proyectos de investigación y extensión o sus prórrogas”</w:t>
      </w:r>
      <w:r w:rsidRPr="007B6410">
        <w:rPr>
          <w:rFonts w:ascii="Arial" w:hAnsi="Arial" w:cs="Arial"/>
          <w:i/>
          <w:lang w:val="es-CR"/>
        </w:rPr>
        <w:t>.</w:t>
      </w:r>
    </w:p>
    <w:p w:rsidR="007B6410" w:rsidRPr="007B6410" w:rsidRDefault="007B6410" w:rsidP="007B6410">
      <w:pPr>
        <w:spacing w:after="160" w:line="252" w:lineRule="auto"/>
        <w:ind w:left="720"/>
        <w:contextualSpacing/>
        <w:jc w:val="both"/>
        <w:rPr>
          <w:rFonts w:ascii="Arial" w:hAnsi="Arial" w:cs="Arial"/>
          <w:lang w:val="es-CR"/>
        </w:rPr>
      </w:pPr>
    </w:p>
    <w:p w:rsidR="007B6410" w:rsidRPr="007B6410" w:rsidRDefault="007B6410" w:rsidP="007B6410">
      <w:pPr>
        <w:numPr>
          <w:ilvl w:val="1"/>
          <w:numId w:val="23"/>
        </w:numPr>
        <w:spacing w:after="160" w:line="252" w:lineRule="auto"/>
        <w:contextualSpacing/>
        <w:jc w:val="both"/>
        <w:rPr>
          <w:rFonts w:ascii="Arial" w:hAnsi="Arial" w:cs="Arial"/>
          <w:color w:val="7030A0"/>
          <w:lang w:val="es-CR"/>
        </w:rPr>
      </w:pPr>
      <w:r w:rsidRPr="007B6410">
        <w:rPr>
          <w:rFonts w:ascii="Arial" w:hAnsi="Arial" w:cs="Arial"/>
          <w:lang w:val="es-CR"/>
        </w:rPr>
        <w:t>La modificación del párrafo que dice</w:t>
      </w:r>
      <w:proofErr w:type="gramStart"/>
      <w:r w:rsidRPr="007B6410">
        <w:rPr>
          <w:rFonts w:ascii="Arial" w:hAnsi="Arial" w:cs="Arial"/>
          <w:lang w:val="es-CR"/>
        </w:rPr>
        <w:t xml:space="preserve">:  </w:t>
      </w:r>
      <w:r w:rsidRPr="007B6410">
        <w:rPr>
          <w:rFonts w:ascii="Arial" w:hAnsi="Arial" w:cs="Arial"/>
          <w:i/>
          <w:lang w:val="es-CR"/>
        </w:rPr>
        <w:t>“</w:t>
      </w:r>
      <w:proofErr w:type="gramEnd"/>
      <w:r w:rsidRPr="007B6410">
        <w:rPr>
          <w:rFonts w:ascii="Arial" w:hAnsi="Arial" w:cs="Arial"/>
          <w:i/>
          <w:lang w:val="es-CR"/>
        </w:rPr>
        <w:t>Los consejos de área funcionarán, en lo que corresponda, igual que los consejos de departamento”</w:t>
      </w:r>
      <w:r w:rsidRPr="007B6410">
        <w:rPr>
          <w:rFonts w:ascii="Arial" w:hAnsi="Arial" w:cs="Arial"/>
          <w:lang w:val="es-CR"/>
        </w:rPr>
        <w:t>; para que se lea de la siguiente manera: “Los consejos de Área, de unidad interna y de unidad desconcentrada, funcionarán, en lo que corresponda, igual que los Consejos de Departamento</w:t>
      </w:r>
      <w:r w:rsidRPr="007B6410">
        <w:rPr>
          <w:rFonts w:ascii="Arial" w:hAnsi="Arial" w:cs="Arial"/>
          <w:color w:val="7030A0"/>
          <w:lang w:val="es-CR"/>
        </w:rPr>
        <w:t>”.</w:t>
      </w:r>
    </w:p>
    <w:p w:rsidR="007B6410" w:rsidRPr="007B6410" w:rsidRDefault="007B6410" w:rsidP="007742A1">
      <w:pPr>
        <w:jc w:val="both"/>
        <w:rPr>
          <w:rFonts w:ascii="Arial" w:eastAsia="Cambria" w:hAnsi="Arial" w:cs="Arial"/>
          <w:lang w:val="es-CR" w:eastAsia="en-US"/>
        </w:rPr>
      </w:pPr>
    </w:p>
    <w:p w:rsidR="00BB3499" w:rsidRDefault="00BB3499" w:rsidP="007742A1">
      <w:pPr>
        <w:jc w:val="both"/>
        <w:rPr>
          <w:rFonts w:ascii="Arial" w:eastAsia="Cambria" w:hAnsi="Arial" w:cs="Arial"/>
          <w:lang w:val="es-ES_tradnl" w:eastAsia="en-US"/>
        </w:rPr>
      </w:pPr>
    </w:p>
    <w:p w:rsidR="00492D0B" w:rsidRDefault="00492D0B" w:rsidP="007B6410">
      <w:pPr>
        <w:numPr>
          <w:ilvl w:val="0"/>
          <w:numId w:val="25"/>
        </w:numPr>
        <w:spacing w:after="160" w:line="252" w:lineRule="auto"/>
        <w:ind w:left="426" w:hanging="426"/>
        <w:contextualSpacing/>
        <w:jc w:val="both"/>
        <w:rPr>
          <w:rFonts w:ascii="Arial" w:hAnsi="Arial" w:cs="Arial"/>
          <w:b/>
          <w:lang w:val="es-CR"/>
        </w:rPr>
      </w:pPr>
      <w:r w:rsidRPr="00BF6609">
        <w:rPr>
          <w:rFonts w:ascii="Arial" w:eastAsia="Cambria" w:hAnsi="Arial" w:cs="Arial"/>
          <w:lang w:eastAsia="en-US"/>
        </w:rPr>
        <w:t>Comunicar</w:t>
      </w:r>
      <w:r w:rsidRPr="00BF6609">
        <w:rPr>
          <w:rFonts w:ascii="Arial" w:hAnsi="Arial" w:cs="Arial"/>
          <w:lang w:val="es-CR"/>
        </w:rPr>
        <w:t xml:space="preserve">. </w:t>
      </w:r>
      <w:r w:rsidRPr="00BF6609">
        <w:rPr>
          <w:rFonts w:ascii="Arial" w:hAnsi="Arial" w:cs="Arial"/>
          <w:b/>
          <w:lang w:val="es-CR"/>
        </w:rPr>
        <w:t xml:space="preserve"> ACUERDO FIRME.</w:t>
      </w:r>
    </w:p>
    <w:p w:rsidR="007B6410" w:rsidRPr="00BF6609" w:rsidRDefault="007B6410" w:rsidP="007B6410">
      <w:pPr>
        <w:spacing w:after="160" w:line="252" w:lineRule="auto"/>
        <w:ind w:left="426"/>
        <w:contextualSpacing/>
        <w:jc w:val="both"/>
        <w:rPr>
          <w:rFonts w:ascii="Arial" w:hAnsi="Arial" w:cs="Arial"/>
          <w:b/>
          <w:lang w:val="es-CR"/>
        </w:rPr>
      </w:pPr>
    </w:p>
    <w:p w:rsidR="008948E6" w:rsidRPr="008948E6" w:rsidRDefault="008948E6" w:rsidP="008948E6">
      <w:pPr>
        <w:ind w:left="284"/>
        <w:jc w:val="both"/>
        <w:rPr>
          <w:rFonts w:ascii="Arial" w:eastAsia="Calibri" w:hAnsi="Arial" w:cs="Arial"/>
          <w:i/>
          <w:sz w:val="22"/>
          <w:szCs w:val="22"/>
        </w:rPr>
      </w:pPr>
    </w:p>
    <w:p w:rsidR="008948E6" w:rsidRPr="007B6410" w:rsidRDefault="007B6410" w:rsidP="008948E6">
      <w:pPr>
        <w:ind w:left="284"/>
        <w:jc w:val="both"/>
        <w:rPr>
          <w:rFonts w:ascii="Arial" w:eastAsia="Calibri" w:hAnsi="Arial" w:cs="Arial"/>
          <w:sz w:val="22"/>
          <w:szCs w:val="22"/>
        </w:rPr>
      </w:pPr>
      <w:r w:rsidRPr="007B6410">
        <w:rPr>
          <w:rFonts w:ascii="Arial" w:eastAsia="Calibri" w:hAnsi="Arial" w:cs="Arial"/>
          <w:sz w:val="22"/>
          <w:szCs w:val="22"/>
        </w:rPr>
        <w:t>Palabras clave:  Consulta Comunidad-reforma-Estatuto Orgánico-derogatoria inciso c</w:t>
      </w:r>
    </w:p>
    <w:p w:rsidR="005A09E1" w:rsidRPr="007B6410" w:rsidRDefault="005A09E1" w:rsidP="005A09E1">
      <w:pPr>
        <w:ind w:right="-91"/>
        <w:jc w:val="both"/>
        <w:rPr>
          <w:rFonts w:ascii="Arial" w:hAnsi="Arial" w:cs="Arial"/>
          <w:sz w:val="10"/>
          <w:szCs w:val="10"/>
        </w:rPr>
      </w:pPr>
    </w:p>
    <w:p w:rsidR="008948E6" w:rsidRPr="005A09E1" w:rsidRDefault="008948E6" w:rsidP="006B1B55">
      <w:pPr>
        <w:contextualSpacing/>
        <w:jc w:val="both"/>
        <w:rPr>
          <w:rFonts w:ascii="Arial" w:hAnsi="Arial" w:cs="Arial"/>
          <w:b/>
        </w:rPr>
      </w:pPr>
    </w:p>
    <w:p w:rsidR="008948E6" w:rsidRPr="00365CFF" w:rsidRDefault="008948E6" w:rsidP="006B1B55">
      <w:pPr>
        <w:contextualSpacing/>
        <w:jc w:val="both"/>
        <w:rPr>
          <w:rFonts w:ascii="Arial" w:hAnsi="Arial" w:cs="Arial"/>
          <w:b/>
          <w:lang w:val="es-ES_tradnl"/>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CE7F7E" w:rsidRPr="00474B22" w:rsidTr="004E64EF">
        <w:trPr>
          <w:trHeight w:val="183"/>
        </w:trPr>
        <w:tc>
          <w:tcPr>
            <w:tcW w:w="4361" w:type="dxa"/>
          </w:tcPr>
          <w:p w:rsidR="00F4695B" w:rsidRPr="00474B22" w:rsidRDefault="00F4695B" w:rsidP="004E64EF">
            <w:pPr>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tcPr>
          <w:p w:rsidR="00CE7F7E" w:rsidRPr="00474B22" w:rsidRDefault="00CE7F7E" w:rsidP="008D187C">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2D7D46" w:rsidRDefault="002D7D46" w:rsidP="00885F0A">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        </w:t>
      </w:r>
    </w:p>
    <w:p w:rsidR="000077CC" w:rsidRPr="000077CC" w:rsidRDefault="00C413F4" w:rsidP="001E3F3C">
      <w:pPr>
        <w:jc w:val="both"/>
        <w:rPr>
          <w:rFonts w:ascii="Arial" w:hAnsi="Arial" w:cs="Arial"/>
          <w:b/>
          <w:sz w:val="16"/>
          <w:szCs w:val="16"/>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B77B04" w:rsidRDefault="00B77B04" w:rsidP="00F41044">
      <w:pPr>
        <w:jc w:val="both"/>
        <w:rPr>
          <w:rFonts w:ascii="Arial" w:eastAsia="Cambria" w:hAnsi="Arial" w:cs="Arial"/>
          <w:sz w:val="22"/>
          <w:szCs w:val="22"/>
          <w:lang w:val="es-CR" w:eastAsia="en-US"/>
        </w:rPr>
      </w:pPr>
    </w:p>
    <w:p w:rsidR="00F41044" w:rsidRPr="00B77B04" w:rsidRDefault="00F41044" w:rsidP="00F41044">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p w:rsidR="002C0D34" w:rsidRDefault="002C0D34" w:rsidP="00C6045C">
      <w:pPr>
        <w:ind w:left="851"/>
        <w:jc w:val="both"/>
        <w:rPr>
          <w:rFonts w:ascii="Arial" w:eastAsia="Cambria" w:hAnsi="Arial" w:cs="Arial"/>
          <w:sz w:val="22"/>
          <w:szCs w:val="22"/>
          <w:lang w:val="es-CR" w:eastAsia="en-US"/>
        </w:rPr>
      </w:pPr>
    </w:p>
    <w:p w:rsidR="00ED72F3" w:rsidRDefault="00ED72F3" w:rsidP="00C6045C">
      <w:pPr>
        <w:ind w:left="851"/>
        <w:jc w:val="both"/>
        <w:rPr>
          <w:rFonts w:ascii="Arial" w:eastAsia="Cambria" w:hAnsi="Arial" w:cs="Arial"/>
          <w:sz w:val="22"/>
          <w:szCs w:val="22"/>
          <w:lang w:val="es-CR" w:eastAsia="en-US"/>
        </w:rPr>
      </w:pPr>
    </w:p>
    <w:p w:rsidR="00ED72F3" w:rsidRPr="00B77B04" w:rsidRDefault="00ED72F3" w:rsidP="00C6045C">
      <w:pPr>
        <w:ind w:left="851"/>
        <w:jc w:val="both"/>
        <w:rPr>
          <w:rFonts w:ascii="Arial" w:eastAsia="Cambria" w:hAnsi="Arial" w:cs="Arial"/>
          <w:sz w:val="22"/>
          <w:szCs w:val="22"/>
          <w:lang w:val="es-CR" w:eastAsia="en-US"/>
        </w:rPr>
      </w:pPr>
    </w:p>
    <w:sectPr w:rsidR="00ED72F3" w:rsidRPr="00B77B0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64B" w:rsidRDefault="0075164B">
      <w:r>
        <w:separator/>
      </w:r>
    </w:p>
  </w:endnote>
  <w:endnote w:type="continuationSeparator" w:id="0">
    <w:p w:rsidR="0075164B" w:rsidRDefault="00751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TE1865388t00">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64B" w:rsidRDefault="0075164B">
      <w:r>
        <w:separator/>
      </w:r>
    </w:p>
  </w:footnote>
  <w:footnote w:type="continuationSeparator" w:id="0">
    <w:p w:rsidR="0075164B" w:rsidRDefault="00751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3F3400">
      <w:rPr>
        <w:rFonts w:ascii="Arial" w:eastAsia="Cambria" w:hAnsi="Arial" w:cs="Arial"/>
        <w:i/>
        <w:sz w:val="18"/>
        <w:szCs w:val="18"/>
        <w:lang w:val="es-ES_tradnl" w:eastAsia="x-none"/>
      </w:rPr>
      <w:t>1</w:t>
    </w:r>
    <w:r w:rsidR="00000665">
      <w:rPr>
        <w:rFonts w:ascii="Arial" w:eastAsia="Cambria" w:hAnsi="Arial" w:cs="Arial"/>
        <w:i/>
        <w:sz w:val="18"/>
        <w:szCs w:val="18"/>
        <w:lang w:val="es-ES_tradnl" w:eastAsia="x-none"/>
      </w:rPr>
      <w:t>3</w:t>
    </w:r>
    <w:r w:rsidR="004F0EDF">
      <w:rPr>
        <w:rFonts w:ascii="Arial" w:eastAsia="Cambria" w:hAnsi="Arial" w:cs="Arial"/>
        <w:i/>
        <w:sz w:val="18"/>
        <w:szCs w:val="18"/>
        <w:lang w:val="es-ES_tradnl" w:eastAsia="x-none"/>
      </w:rPr>
      <w:t>1</w:t>
    </w:r>
    <w:r w:rsidRPr="00D958BC">
      <w:rPr>
        <w:rFonts w:ascii="Arial" w:eastAsia="Cambria" w:hAnsi="Arial" w:cs="Arial"/>
        <w:i/>
        <w:sz w:val="18"/>
        <w:szCs w:val="18"/>
        <w:lang w:val="es-ES_tradnl" w:eastAsia="x-none"/>
      </w:rPr>
      <w:t xml:space="preserve"> Artículo </w:t>
    </w:r>
    <w:r w:rsidR="001B175E">
      <w:rPr>
        <w:rFonts w:ascii="Arial" w:eastAsia="Cambria" w:hAnsi="Arial" w:cs="Arial"/>
        <w:i/>
        <w:sz w:val="18"/>
        <w:szCs w:val="18"/>
        <w:lang w:val="es-ES_tradnl" w:eastAsia="x-none"/>
      </w:rPr>
      <w:t>1</w:t>
    </w:r>
    <w:r w:rsidR="00310AFA">
      <w:rPr>
        <w:rFonts w:ascii="Arial" w:eastAsia="Cambria" w:hAnsi="Arial" w:cs="Arial"/>
        <w:i/>
        <w:sz w:val="18"/>
        <w:szCs w:val="18"/>
        <w:lang w:val="es-ES_tradnl" w:eastAsia="x-none"/>
      </w:rPr>
      <w:t>3</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4F0EDF">
      <w:rPr>
        <w:rFonts w:ascii="Arial" w:eastAsia="Cambria" w:hAnsi="Arial" w:cs="Arial"/>
        <w:i/>
        <w:sz w:val="18"/>
        <w:szCs w:val="18"/>
        <w:lang w:val="es-ES_tradnl" w:eastAsia="x-none"/>
      </w:rPr>
      <w:t>14</w:t>
    </w:r>
    <w:r w:rsidR="00000665">
      <w:rPr>
        <w:rFonts w:ascii="Arial" w:eastAsia="Cambria" w:hAnsi="Arial" w:cs="Arial"/>
        <w:i/>
        <w:sz w:val="18"/>
        <w:szCs w:val="18"/>
        <w:lang w:val="es-ES_tradnl" w:eastAsia="x-none"/>
      </w:rPr>
      <w:t xml:space="preserve"> de agosto </w:t>
    </w:r>
    <w:r w:rsidRPr="00D958BC">
      <w:rPr>
        <w:rFonts w:ascii="Arial" w:eastAsia="Cambria" w:hAnsi="Arial" w:cs="Arial"/>
        <w:i/>
        <w:sz w:val="18"/>
        <w:szCs w:val="18"/>
        <w:lang w:val="es-ES_tradnl" w:eastAsia="x-none"/>
      </w:rPr>
      <w:t>de 201</w:t>
    </w:r>
    <w:r w:rsidR="00AA61D4">
      <w:rPr>
        <w:rFonts w:ascii="Arial" w:eastAsia="Cambria" w:hAnsi="Arial" w:cs="Arial"/>
        <w:i/>
        <w:sz w:val="18"/>
        <w:szCs w:val="18"/>
        <w:lang w:val="es-ES_tradnl" w:eastAsia="x-none"/>
      </w:rPr>
      <w:t>9</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5F622D">
      <w:rPr>
        <w:rFonts w:ascii="Arial" w:eastAsia="Cambria" w:hAnsi="Arial" w:cs="Arial"/>
        <w:i/>
        <w:noProof/>
        <w:sz w:val="18"/>
        <w:szCs w:val="18"/>
        <w:lang w:val="es-ES_tradnl" w:eastAsia="x-none"/>
      </w:rPr>
      <w:t>5</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AC2683D"/>
    <w:multiLevelType w:val="multilevel"/>
    <w:tmpl w:val="905EFF7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0D477F05"/>
    <w:multiLevelType w:val="multilevel"/>
    <w:tmpl w:val="8CD40374"/>
    <w:lvl w:ilvl="0">
      <w:start w:val="1"/>
      <w:numFmt w:val="decimal"/>
      <w:lvlText w:val="%1."/>
      <w:lvlJc w:val="left"/>
      <w:pPr>
        <w:ind w:left="360" w:hanging="360"/>
      </w:pPr>
      <w:rPr>
        <w:rFonts w:ascii="Arial" w:eastAsia="Arial" w:hAnsi="Arial" w:cs="Arial"/>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6A2499"/>
    <w:multiLevelType w:val="hybridMultilevel"/>
    <w:tmpl w:val="70B65094"/>
    <w:lvl w:ilvl="0" w:tplc="AEEAC3D8">
      <w:start w:val="1"/>
      <w:numFmt w:val="decimal"/>
      <w:lvlText w:val="%1."/>
      <w:lvlJc w:val="left"/>
      <w:pPr>
        <w:ind w:left="5747" w:hanging="360"/>
      </w:pPr>
      <w:rPr>
        <w:rFonts w:hint="default"/>
        <w:b/>
        <w:bCs/>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06E1136"/>
    <w:multiLevelType w:val="hybridMultilevel"/>
    <w:tmpl w:val="43D494A8"/>
    <w:lvl w:ilvl="0" w:tplc="5DEC8DB8">
      <w:start w:val="1"/>
      <w:numFmt w:val="lowerLetter"/>
      <w:lvlText w:val="%1."/>
      <w:lvlJc w:val="left"/>
      <w:pPr>
        <w:ind w:left="360" w:hanging="360"/>
      </w:pPr>
      <w:rPr>
        <w:b/>
        <w:color w:val="000000"/>
      </w:rPr>
    </w:lvl>
    <w:lvl w:ilvl="1" w:tplc="589021D2">
      <w:start w:val="1"/>
      <w:numFmt w:val="decimal"/>
      <w:lvlText w:val="%2."/>
      <w:lvlJc w:val="left"/>
      <w:pPr>
        <w:ind w:left="1080" w:hanging="360"/>
      </w:pPr>
      <w:rPr>
        <w:rFonts w:hint="default"/>
        <w:b/>
        <w:bCs/>
        <w:i w:val="0"/>
        <w:color w:val="auto"/>
        <w:sz w:val="24"/>
        <w:szCs w:val="24"/>
      </w:r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6" w15:restartNumberingAfterBreak="0">
    <w:nsid w:val="12DB1622"/>
    <w:multiLevelType w:val="hybridMultilevel"/>
    <w:tmpl w:val="4B8A4AE4"/>
    <w:lvl w:ilvl="0" w:tplc="FFFFFFFF">
      <w:start w:val="1"/>
      <w:numFmt w:val="decimal"/>
      <w:lvlText w:val="%1."/>
      <w:lvlJc w:val="left"/>
      <w:pPr>
        <w:ind w:left="720" w:hanging="360"/>
      </w:pPr>
      <w:rPr>
        <w:b/>
        <w:sz w:val="24"/>
        <w:szCs w:val="24"/>
      </w:rPr>
    </w:lvl>
    <w:lvl w:ilvl="1" w:tplc="78C22D44">
      <w:start w:val="1"/>
      <w:numFmt w:val="lowerLetter"/>
      <w:lvlText w:val="%2."/>
      <w:lvlJc w:val="left"/>
      <w:pPr>
        <w:ind w:left="1440" w:hanging="360"/>
      </w:pPr>
      <w:rPr>
        <w:rFonts w:ascii="Arial" w:hAnsi="Arial" w:cs="Arial" w:hint="default"/>
        <w:sz w:val="22"/>
        <w:szCs w:val="22"/>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2F73C21"/>
    <w:multiLevelType w:val="multilevel"/>
    <w:tmpl w:val="E1D0964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78D3C0B"/>
    <w:multiLevelType w:val="hybridMultilevel"/>
    <w:tmpl w:val="44C4804A"/>
    <w:lvl w:ilvl="0" w:tplc="0EE602F2">
      <w:start w:val="1"/>
      <w:numFmt w:val="lowerLetter"/>
      <w:lvlText w:val="%1."/>
      <w:lvlJc w:val="left"/>
      <w:pPr>
        <w:ind w:left="720" w:hanging="360"/>
      </w:pPr>
      <w:rPr>
        <w:rFonts w:ascii="Arial" w:hAnsi="Arial" w:cs="Arial"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92B3831"/>
    <w:multiLevelType w:val="hybridMultilevel"/>
    <w:tmpl w:val="AD0E75C8"/>
    <w:lvl w:ilvl="0" w:tplc="D3CA9C98">
      <w:start w:val="1"/>
      <w:numFmt w:val="decimal"/>
      <w:lvlText w:val="%1."/>
      <w:lvlJc w:val="left"/>
      <w:pPr>
        <w:ind w:left="720"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0" w15:restartNumberingAfterBreak="0">
    <w:nsid w:val="1A015EA7"/>
    <w:multiLevelType w:val="multilevel"/>
    <w:tmpl w:val="0C1A9F26"/>
    <w:lvl w:ilvl="0">
      <w:start w:val="1"/>
      <w:numFmt w:val="lowerLetter"/>
      <w:lvlText w:val="%1."/>
      <w:lvlJc w:val="left"/>
      <w:pPr>
        <w:ind w:left="360" w:hanging="360"/>
      </w:pPr>
      <w:rPr>
        <w:b/>
        <w:strike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948678E"/>
    <w:multiLevelType w:val="hybridMultilevel"/>
    <w:tmpl w:val="6E1A3F16"/>
    <w:lvl w:ilvl="0" w:tplc="585070A4">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E983839"/>
    <w:multiLevelType w:val="multilevel"/>
    <w:tmpl w:val="3E5CC62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6BF0501"/>
    <w:multiLevelType w:val="hybridMultilevel"/>
    <w:tmpl w:val="9E5A7FB4"/>
    <w:lvl w:ilvl="0" w:tplc="E84A2228">
      <w:start w:val="1"/>
      <w:numFmt w:val="lowerLetter"/>
      <w:lvlText w:val="%1."/>
      <w:lvlJc w:val="left"/>
      <w:pPr>
        <w:ind w:left="720" w:hanging="360"/>
      </w:pPr>
      <w:rPr>
        <w:rFonts w:ascii="Arial" w:hAnsi="Arial" w:cs="Arial"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E8254B5"/>
    <w:multiLevelType w:val="hybridMultilevel"/>
    <w:tmpl w:val="039CCB3C"/>
    <w:lvl w:ilvl="0" w:tplc="162E3384">
      <w:start w:val="1"/>
      <w:numFmt w:val="decimal"/>
      <w:lvlText w:val="%1."/>
      <w:lvlJc w:val="left"/>
      <w:pPr>
        <w:ind w:left="720"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6" w15:restartNumberingAfterBreak="0">
    <w:nsid w:val="429A5D76"/>
    <w:multiLevelType w:val="multilevel"/>
    <w:tmpl w:val="8CD40374"/>
    <w:lvl w:ilvl="0">
      <w:start w:val="1"/>
      <w:numFmt w:val="decimal"/>
      <w:lvlText w:val="%1."/>
      <w:lvlJc w:val="left"/>
      <w:pPr>
        <w:ind w:left="360" w:hanging="360"/>
      </w:pPr>
      <w:rPr>
        <w:rFonts w:ascii="Arial" w:eastAsia="Arial" w:hAnsi="Arial" w:cs="Arial"/>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AF4F28"/>
    <w:multiLevelType w:val="hybridMultilevel"/>
    <w:tmpl w:val="8F30BF70"/>
    <w:lvl w:ilvl="0" w:tplc="A13AAD86">
      <w:start w:val="1"/>
      <w:numFmt w:val="decimal"/>
      <w:lvlText w:val="%1."/>
      <w:lvlJc w:val="left"/>
      <w:pPr>
        <w:ind w:left="720" w:hanging="360"/>
      </w:pPr>
      <w:rPr>
        <w:rFonts w:hint="default"/>
        <w:b/>
        <w:strike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553B037F"/>
    <w:multiLevelType w:val="hybridMultilevel"/>
    <w:tmpl w:val="AD5C1B74"/>
    <w:lvl w:ilvl="0" w:tplc="FFFFFFFF">
      <w:start w:val="1"/>
      <w:numFmt w:val="bullet"/>
      <w:lvlText w:val=""/>
      <w:lvlJc w:val="left"/>
      <w:pPr>
        <w:ind w:left="1426" w:hanging="360"/>
      </w:pPr>
      <w:rPr>
        <w:rFonts w:ascii="Symbol" w:hAnsi="Symbol" w:hint="default"/>
      </w:rPr>
    </w:lvl>
    <w:lvl w:ilvl="1" w:tplc="140A0003" w:tentative="1">
      <w:start w:val="1"/>
      <w:numFmt w:val="bullet"/>
      <w:lvlText w:val="o"/>
      <w:lvlJc w:val="left"/>
      <w:pPr>
        <w:ind w:left="2146" w:hanging="360"/>
      </w:pPr>
      <w:rPr>
        <w:rFonts w:ascii="Courier New" w:hAnsi="Courier New" w:cs="Courier New" w:hint="default"/>
      </w:rPr>
    </w:lvl>
    <w:lvl w:ilvl="2" w:tplc="140A0005" w:tentative="1">
      <w:start w:val="1"/>
      <w:numFmt w:val="bullet"/>
      <w:lvlText w:val=""/>
      <w:lvlJc w:val="left"/>
      <w:pPr>
        <w:ind w:left="2866" w:hanging="360"/>
      </w:pPr>
      <w:rPr>
        <w:rFonts w:ascii="Wingdings" w:hAnsi="Wingdings" w:hint="default"/>
      </w:rPr>
    </w:lvl>
    <w:lvl w:ilvl="3" w:tplc="140A0001" w:tentative="1">
      <w:start w:val="1"/>
      <w:numFmt w:val="bullet"/>
      <w:lvlText w:val=""/>
      <w:lvlJc w:val="left"/>
      <w:pPr>
        <w:ind w:left="3586" w:hanging="360"/>
      </w:pPr>
      <w:rPr>
        <w:rFonts w:ascii="Symbol" w:hAnsi="Symbol" w:hint="default"/>
      </w:rPr>
    </w:lvl>
    <w:lvl w:ilvl="4" w:tplc="140A0003" w:tentative="1">
      <w:start w:val="1"/>
      <w:numFmt w:val="bullet"/>
      <w:lvlText w:val="o"/>
      <w:lvlJc w:val="left"/>
      <w:pPr>
        <w:ind w:left="4306" w:hanging="360"/>
      </w:pPr>
      <w:rPr>
        <w:rFonts w:ascii="Courier New" w:hAnsi="Courier New" w:cs="Courier New" w:hint="default"/>
      </w:rPr>
    </w:lvl>
    <w:lvl w:ilvl="5" w:tplc="140A0005" w:tentative="1">
      <w:start w:val="1"/>
      <w:numFmt w:val="bullet"/>
      <w:lvlText w:val=""/>
      <w:lvlJc w:val="left"/>
      <w:pPr>
        <w:ind w:left="5026" w:hanging="360"/>
      </w:pPr>
      <w:rPr>
        <w:rFonts w:ascii="Wingdings" w:hAnsi="Wingdings" w:hint="default"/>
      </w:rPr>
    </w:lvl>
    <w:lvl w:ilvl="6" w:tplc="140A0001" w:tentative="1">
      <w:start w:val="1"/>
      <w:numFmt w:val="bullet"/>
      <w:lvlText w:val=""/>
      <w:lvlJc w:val="left"/>
      <w:pPr>
        <w:ind w:left="5746" w:hanging="360"/>
      </w:pPr>
      <w:rPr>
        <w:rFonts w:ascii="Symbol" w:hAnsi="Symbol" w:hint="default"/>
      </w:rPr>
    </w:lvl>
    <w:lvl w:ilvl="7" w:tplc="140A0003" w:tentative="1">
      <w:start w:val="1"/>
      <w:numFmt w:val="bullet"/>
      <w:lvlText w:val="o"/>
      <w:lvlJc w:val="left"/>
      <w:pPr>
        <w:ind w:left="6466" w:hanging="360"/>
      </w:pPr>
      <w:rPr>
        <w:rFonts w:ascii="Courier New" w:hAnsi="Courier New" w:cs="Courier New" w:hint="default"/>
      </w:rPr>
    </w:lvl>
    <w:lvl w:ilvl="8" w:tplc="140A0005" w:tentative="1">
      <w:start w:val="1"/>
      <w:numFmt w:val="bullet"/>
      <w:lvlText w:val=""/>
      <w:lvlJc w:val="left"/>
      <w:pPr>
        <w:ind w:left="7186" w:hanging="360"/>
      </w:pPr>
      <w:rPr>
        <w:rFonts w:ascii="Wingdings" w:hAnsi="Wingdings" w:hint="default"/>
      </w:rPr>
    </w:lvl>
  </w:abstractNum>
  <w:abstractNum w:abstractNumId="19" w15:restartNumberingAfterBreak="0">
    <w:nsid w:val="6CA83D76"/>
    <w:multiLevelType w:val="hybridMultilevel"/>
    <w:tmpl w:val="162A9C90"/>
    <w:lvl w:ilvl="0" w:tplc="E58E1F3E">
      <w:start w:val="1"/>
      <w:numFmt w:val="bullet"/>
      <w:lvlText w:val=""/>
      <w:lvlJc w:val="left"/>
      <w:pPr>
        <w:ind w:left="720" w:hanging="360"/>
      </w:pPr>
      <w:rPr>
        <w:rFonts w:ascii="Symbol" w:hAnsi="Symbol" w:hint="default"/>
      </w:rPr>
    </w:lvl>
    <w:lvl w:ilvl="1" w:tplc="DC4860C2">
      <w:start w:val="1"/>
      <w:numFmt w:val="bullet"/>
      <w:lvlText w:val=""/>
      <w:lvlJc w:val="left"/>
      <w:pPr>
        <w:ind w:left="1440" w:hanging="360"/>
      </w:pPr>
      <w:rPr>
        <w:rFonts w:ascii="Symbol" w:hAnsi="Symbol" w:hint="default"/>
      </w:rPr>
    </w:lvl>
    <w:lvl w:ilvl="2" w:tplc="622EF9E2">
      <w:start w:val="1"/>
      <w:numFmt w:val="bullet"/>
      <w:lvlText w:val=""/>
      <w:lvlJc w:val="left"/>
      <w:pPr>
        <w:ind w:left="2160" w:hanging="360"/>
      </w:pPr>
      <w:rPr>
        <w:rFonts w:ascii="Wingdings" w:hAnsi="Wingdings" w:hint="default"/>
      </w:rPr>
    </w:lvl>
    <w:lvl w:ilvl="3" w:tplc="12F45986">
      <w:start w:val="1"/>
      <w:numFmt w:val="bullet"/>
      <w:lvlText w:val=""/>
      <w:lvlJc w:val="left"/>
      <w:pPr>
        <w:ind w:left="2880" w:hanging="360"/>
      </w:pPr>
      <w:rPr>
        <w:rFonts w:ascii="Symbol" w:hAnsi="Symbol" w:hint="default"/>
      </w:rPr>
    </w:lvl>
    <w:lvl w:ilvl="4" w:tplc="E60E6474">
      <w:start w:val="1"/>
      <w:numFmt w:val="bullet"/>
      <w:lvlText w:val="o"/>
      <w:lvlJc w:val="left"/>
      <w:pPr>
        <w:ind w:left="3600" w:hanging="360"/>
      </w:pPr>
      <w:rPr>
        <w:rFonts w:ascii="Courier New" w:hAnsi="Courier New" w:hint="default"/>
      </w:rPr>
    </w:lvl>
    <w:lvl w:ilvl="5" w:tplc="1B968C44">
      <w:start w:val="1"/>
      <w:numFmt w:val="bullet"/>
      <w:lvlText w:val=""/>
      <w:lvlJc w:val="left"/>
      <w:pPr>
        <w:ind w:left="4320" w:hanging="360"/>
      </w:pPr>
      <w:rPr>
        <w:rFonts w:ascii="Wingdings" w:hAnsi="Wingdings" w:hint="default"/>
      </w:rPr>
    </w:lvl>
    <w:lvl w:ilvl="6" w:tplc="7FE04E2C">
      <w:start w:val="1"/>
      <w:numFmt w:val="bullet"/>
      <w:lvlText w:val=""/>
      <w:lvlJc w:val="left"/>
      <w:pPr>
        <w:ind w:left="5040" w:hanging="360"/>
      </w:pPr>
      <w:rPr>
        <w:rFonts w:ascii="Symbol" w:hAnsi="Symbol" w:hint="default"/>
      </w:rPr>
    </w:lvl>
    <w:lvl w:ilvl="7" w:tplc="71EE2BBC">
      <w:start w:val="1"/>
      <w:numFmt w:val="bullet"/>
      <w:lvlText w:val="o"/>
      <w:lvlJc w:val="left"/>
      <w:pPr>
        <w:ind w:left="5760" w:hanging="360"/>
      </w:pPr>
      <w:rPr>
        <w:rFonts w:ascii="Courier New" w:hAnsi="Courier New" w:hint="default"/>
      </w:rPr>
    </w:lvl>
    <w:lvl w:ilvl="8" w:tplc="4634A62C">
      <w:start w:val="1"/>
      <w:numFmt w:val="bullet"/>
      <w:lvlText w:val=""/>
      <w:lvlJc w:val="left"/>
      <w:pPr>
        <w:ind w:left="6480" w:hanging="360"/>
      </w:pPr>
      <w:rPr>
        <w:rFonts w:ascii="Wingdings" w:hAnsi="Wingdings" w:hint="default"/>
      </w:rPr>
    </w:lvl>
  </w:abstractNum>
  <w:abstractNum w:abstractNumId="20"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74DA320A"/>
    <w:multiLevelType w:val="hybridMultilevel"/>
    <w:tmpl w:val="12E2AF9E"/>
    <w:lvl w:ilvl="0" w:tplc="E4621B50">
      <w:start w:val="1"/>
      <w:numFmt w:val="decimal"/>
      <w:lvlText w:val="%1."/>
      <w:lvlJc w:val="left"/>
      <w:pPr>
        <w:ind w:left="5747" w:hanging="360"/>
      </w:pPr>
      <w:rPr>
        <w:rFonts w:ascii="Arial" w:hAnsi="Arial" w:cs="Arial" w:hint="default"/>
        <w:b/>
        <w:i w:val="0"/>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D75553F"/>
    <w:multiLevelType w:val="hybridMultilevel"/>
    <w:tmpl w:val="44C4804A"/>
    <w:lvl w:ilvl="0" w:tplc="0EE602F2">
      <w:start w:val="1"/>
      <w:numFmt w:val="lowerLetter"/>
      <w:lvlText w:val="%1."/>
      <w:lvlJc w:val="left"/>
      <w:pPr>
        <w:ind w:left="720" w:hanging="360"/>
      </w:pPr>
      <w:rPr>
        <w:rFonts w:ascii="Arial" w:hAnsi="Arial" w:cs="Arial"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0"/>
  </w:num>
  <w:num w:numId="3">
    <w:abstractNumId w:val="12"/>
  </w:num>
  <w:num w:numId="4">
    <w:abstractNumId w:val="7"/>
  </w:num>
  <w:num w:numId="5">
    <w:abstractNumId w:val="16"/>
  </w:num>
  <w:num w:numId="6">
    <w:abstractNumId w:val="10"/>
  </w:num>
  <w:num w:numId="7">
    <w:abstractNumId w:val="2"/>
  </w:num>
  <w:num w:numId="8">
    <w:abstractNumId w:val="3"/>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3"/>
  </w:num>
  <w:num w:numId="12">
    <w:abstractNumId w:val="17"/>
  </w:num>
  <w:num w:numId="13">
    <w:abstractNumId w:val="19"/>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2"/>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4"/>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9"/>
  </w:num>
  <w:num w:numId="25">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0665"/>
    <w:rsid w:val="000012C8"/>
    <w:rsid w:val="00001369"/>
    <w:rsid w:val="000040EF"/>
    <w:rsid w:val="000046BC"/>
    <w:rsid w:val="00004A0B"/>
    <w:rsid w:val="0000518D"/>
    <w:rsid w:val="0000683B"/>
    <w:rsid w:val="000077CC"/>
    <w:rsid w:val="00010592"/>
    <w:rsid w:val="00011DBE"/>
    <w:rsid w:val="000120EB"/>
    <w:rsid w:val="000128E2"/>
    <w:rsid w:val="000152E6"/>
    <w:rsid w:val="00017DE2"/>
    <w:rsid w:val="00020858"/>
    <w:rsid w:val="000213DD"/>
    <w:rsid w:val="00024564"/>
    <w:rsid w:val="00024A27"/>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4D05"/>
    <w:rsid w:val="00067296"/>
    <w:rsid w:val="00067992"/>
    <w:rsid w:val="000679D9"/>
    <w:rsid w:val="00067BE7"/>
    <w:rsid w:val="00067C8C"/>
    <w:rsid w:val="00071145"/>
    <w:rsid w:val="000719CB"/>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29E"/>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A8B"/>
    <w:rsid w:val="000C7F0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64F"/>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63D3"/>
    <w:rsid w:val="001272AF"/>
    <w:rsid w:val="001304BF"/>
    <w:rsid w:val="0013093C"/>
    <w:rsid w:val="001319DF"/>
    <w:rsid w:val="00132C08"/>
    <w:rsid w:val="00133DC3"/>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3956"/>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A5D"/>
    <w:rsid w:val="00196E82"/>
    <w:rsid w:val="0019710D"/>
    <w:rsid w:val="001A0A20"/>
    <w:rsid w:val="001A214B"/>
    <w:rsid w:val="001A33C3"/>
    <w:rsid w:val="001A7DF9"/>
    <w:rsid w:val="001B175E"/>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3F3C"/>
    <w:rsid w:val="001E684C"/>
    <w:rsid w:val="001E69A6"/>
    <w:rsid w:val="001E69C9"/>
    <w:rsid w:val="001E6DC5"/>
    <w:rsid w:val="001F0C0F"/>
    <w:rsid w:val="001F26FD"/>
    <w:rsid w:val="001F3B35"/>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3E1"/>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3D21"/>
    <w:rsid w:val="002643B6"/>
    <w:rsid w:val="00264EFA"/>
    <w:rsid w:val="00266024"/>
    <w:rsid w:val="00266221"/>
    <w:rsid w:val="002668E5"/>
    <w:rsid w:val="0026727D"/>
    <w:rsid w:val="00267A3B"/>
    <w:rsid w:val="00267FAF"/>
    <w:rsid w:val="002743B7"/>
    <w:rsid w:val="00274B8E"/>
    <w:rsid w:val="00275822"/>
    <w:rsid w:val="00275FE3"/>
    <w:rsid w:val="0027711F"/>
    <w:rsid w:val="00280C7B"/>
    <w:rsid w:val="00281B37"/>
    <w:rsid w:val="00282EA3"/>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D7A95"/>
    <w:rsid w:val="002D7D46"/>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42E7"/>
    <w:rsid w:val="003047F1"/>
    <w:rsid w:val="00305BC2"/>
    <w:rsid w:val="00310865"/>
    <w:rsid w:val="00310AFA"/>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4A92"/>
    <w:rsid w:val="00336F05"/>
    <w:rsid w:val="00337408"/>
    <w:rsid w:val="00337455"/>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CFF"/>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24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60C"/>
    <w:rsid w:val="003C388C"/>
    <w:rsid w:val="003C46A0"/>
    <w:rsid w:val="003C5113"/>
    <w:rsid w:val="003C5FFE"/>
    <w:rsid w:val="003C6ED7"/>
    <w:rsid w:val="003D2633"/>
    <w:rsid w:val="003D3F8A"/>
    <w:rsid w:val="003D5AAA"/>
    <w:rsid w:val="003D6E3B"/>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035"/>
    <w:rsid w:val="00476861"/>
    <w:rsid w:val="00477A87"/>
    <w:rsid w:val="00480A91"/>
    <w:rsid w:val="00481E38"/>
    <w:rsid w:val="004823B5"/>
    <w:rsid w:val="00482A59"/>
    <w:rsid w:val="0048389C"/>
    <w:rsid w:val="004873EC"/>
    <w:rsid w:val="00487C3B"/>
    <w:rsid w:val="00492457"/>
    <w:rsid w:val="00492D0B"/>
    <w:rsid w:val="0049385C"/>
    <w:rsid w:val="004945D5"/>
    <w:rsid w:val="004947BD"/>
    <w:rsid w:val="00495B4F"/>
    <w:rsid w:val="00497506"/>
    <w:rsid w:val="00497832"/>
    <w:rsid w:val="004A0A9A"/>
    <w:rsid w:val="004A172B"/>
    <w:rsid w:val="004A4274"/>
    <w:rsid w:val="004A48E6"/>
    <w:rsid w:val="004A5051"/>
    <w:rsid w:val="004A5D5E"/>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4EF"/>
    <w:rsid w:val="004E65FB"/>
    <w:rsid w:val="004E6E23"/>
    <w:rsid w:val="004E7D9D"/>
    <w:rsid w:val="004E7FFC"/>
    <w:rsid w:val="004F0EDF"/>
    <w:rsid w:val="004F2645"/>
    <w:rsid w:val="004F319C"/>
    <w:rsid w:val="004F36F9"/>
    <w:rsid w:val="004F6BA9"/>
    <w:rsid w:val="004F7EB0"/>
    <w:rsid w:val="00501E14"/>
    <w:rsid w:val="00502116"/>
    <w:rsid w:val="00503263"/>
    <w:rsid w:val="005032E7"/>
    <w:rsid w:val="005047A3"/>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4704"/>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18A6"/>
    <w:rsid w:val="00574E3C"/>
    <w:rsid w:val="005766E0"/>
    <w:rsid w:val="00577426"/>
    <w:rsid w:val="00581106"/>
    <w:rsid w:val="005832B2"/>
    <w:rsid w:val="00591483"/>
    <w:rsid w:val="00591A6C"/>
    <w:rsid w:val="00593737"/>
    <w:rsid w:val="005972A7"/>
    <w:rsid w:val="005978DB"/>
    <w:rsid w:val="00597AA2"/>
    <w:rsid w:val="005A09E1"/>
    <w:rsid w:val="005A1349"/>
    <w:rsid w:val="005A2507"/>
    <w:rsid w:val="005A2803"/>
    <w:rsid w:val="005A3172"/>
    <w:rsid w:val="005A57FA"/>
    <w:rsid w:val="005A583E"/>
    <w:rsid w:val="005A5BEC"/>
    <w:rsid w:val="005A7087"/>
    <w:rsid w:val="005A7222"/>
    <w:rsid w:val="005A74FE"/>
    <w:rsid w:val="005A76D9"/>
    <w:rsid w:val="005B0F20"/>
    <w:rsid w:val="005B2823"/>
    <w:rsid w:val="005B465B"/>
    <w:rsid w:val="005B5D87"/>
    <w:rsid w:val="005B6F1F"/>
    <w:rsid w:val="005C0755"/>
    <w:rsid w:val="005C2C87"/>
    <w:rsid w:val="005C52A3"/>
    <w:rsid w:val="005C56A6"/>
    <w:rsid w:val="005D1400"/>
    <w:rsid w:val="005D234B"/>
    <w:rsid w:val="005D242A"/>
    <w:rsid w:val="005E0359"/>
    <w:rsid w:val="005E06F0"/>
    <w:rsid w:val="005E10A2"/>
    <w:rsid w:val="005E1B2D"/>
    <w:rsid w:val="005E4831"/>
    <w:rsid w:val="005E6C51"/>
    <w:rsid w:val="005E6F3F"/>
    <w:rsid w:val="005E779D"/>
    <w:rsid w:val="005F0A21"/>
    <w:rsid w:val="005F3429"/>
    <w:rsid w:val="005F3B68"/>
    <w:rsid w:val="005F3D1A"/>
    <w:rsid w:val="005F4079"/>
    <w:rsid w:val="005F40F5"/>
    <w:rsid w:val="005F622D"/>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0339"/>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1A8B"/>
    <w:rsid w:val="00662142"/>
    <w:rsid w:val="00664E8B"/>
    <w:rsid w:val="00665335"/>
    <w:rsid w:val="0066604E"/>
    <w:rsid w:val="0066690B"/>
    <w:rsid w:val="00672900"/>
    <w:rsid w:val="00672D32"/>
    <w:rsid w:val="0067394A"/>
    <w:rsid w:val="00675C04"/>
    <w:rsid w:val="00676630"/>
    <w:rsid w:val="00676DF3"/>
    <w:rsid w:val="00682D8A"/>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B55"/>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0E65"/>
    <w:rsid w:val="006D2575"/>
    <w:rsid w:val="006D4512"/>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06ED"/>
    <w:rsid w:val="00700F21"/>
    <w:rsid w:val="00704042"/>
    <w:rsid w:val="00706FEC"/>
    <w:rsid w:val="0071118B"/>
    <w:rsid w:val="007116E4"/>
    <w:rsid w:val="007133B5"/>
    <w:rsid w:val="007140BA"/>
    <w:rsid w:val="0071574F"/>
    <w:rsid w:val="00716307"/>
    <w:rsid w:val="00716A85"/>
    <w:rsid w:val="00717E7B"/>
    <w:rsid w:val="00720E26"/>
    <w:rsid w:val="00722637"/>
    <w:rsid w:val="00722F40"/>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64B"/>
    <w:rsid w:val="0075179A"/>
    <w:rsid w:val="00751AB1"/>
    <w:rsid w:val="007548D7"/>
    <w:rsid w:val="007553D4"/>
    <w:rsid w:val="00760AD1"/>
    <w:rsid w:val="00760D93"/>
    <w:rsid w:val="00761133"/>
    <w:rsid w:val="007619FB"/>
    <w:rsid w:val="00761D88"/>
    <w:rsid w:val="0076203A"/>
    <w:rsid w:val="00763AF2"/>
    <w:rsid w:val="00767A01"/>
    <w:rsid w:val="00767AF5"/>
    <w:rsid w:val="00771193"/>
    <w:rsid w:val="007729C9"/>
    <w:rsid w:val="007742A1"/>
    <w:rsid w:val="00774600"/>
    <w:rsid w:val="00777FF4"/>
    <w:rsid w:val="00781332"/>
    <w:rsid w:val="007819B0"/>
    <w:rsid w:val="007837C1"/>
    <w:rsid w:val="007848E0"/>
    <w:rsid w:val="0078514D"/>
    <w:rsid w:val="00791713"/>
    <w:rsid w:val="00791806"/>
    <w:rsid w:val="00791D2B"/>
    <w:rsid w:val="00794454"/>
    <w:rsid w:val="00795377"/>
    <w:rsid w:val="007A2D73"/>
    <w:rsid w:val="007A5E5B"/>
    <w:rsid w:val="007B381B"/>
    <w:rsid w:val="007B56C0"/>
    <w:rsid w:val="007B641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22A"/>
    <w:rsid w:val="007F0A2E"/>
    <w:rsid w:val="007F1052"/>
    <w:rsid w:val="007F29C9"/>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DF1"/>
    <w:rsid w:val="00885F0A"/>
    <w:rsid w:val="00887FCC"/>
    <w:rsid w:val="008903EF"/>
    <w:rsid w:val="00891B08"/>
    <w:rsid w:val="00893524"/>
    <w:rsid w:val="00893FAC"/>
    <w:rsid w:val="0089404C"/>
    <w:rsid w:val="008948E6"/>
    <w:rsid w:val="008A03C9"/>
    <w:rsid w:val="008A0859"/>
    <w:rsid w:val="008A1075"/>
    <w:rsid w:val="008A160D"/>
    <w:rsid w:val="008A28F0"/>
    <w:rsid w:val="008A3B39"/>
    <w:rsid w:val="008A53D4"/>
    <w:rsid w:val="008A5C04"/>
    <w:rsid w:val="008A6AE5"/>
    <w:rsid w:val="008B0272"/>
    <w:rsid w:val="008B43F5"/>
    <w:rsid w:val="008B4CF8"/>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5D0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4B0"/>
    <w:rsid w:val="00911F5C"/>
    <w:rsid w:val="00911F70"/>
    <w:rsid w:val="009120EB"/>
    <w:rsid w:val="00914473"/>
    <w:rsid w:val="00914F38"/>
    <w:rsid w:val="00915D94"/>
    <w:rsid w:val="00917157"/>
    <w:rsid w:val="00917F97"/>
    <w:rsid w:val="00924AA2"/>
    <w:rsid w:val="009258C6"/>
    <w:rsid w:val="00925985"/>
    <w:rsid w:val="00930A02"/>
    <w:rsid w:val="00931FBC"/>
    <w:rsid w:val="00932C87"/>
    <w:rsid w:val="009401C7"/>
    <w:rsid w:val="00941DA2"/>
    <w:rsid w:val="00945C56"/>
    <w:rsid w:val="009462DD"/>
    <w:rsid w:val="009526A4"/>
    <w:rsid w:val="00952F8F"/>
    <w:rsid w:val="00953265"/>
    <w:rsid w:val="00953CA5"/>
    <w:rsid w:val="009546D0"/>
    <w:rsid w:val="009561A9"/>
    <w:rsid w:val="00956670"/>
    <w:rsid w:val="00956F68"/>
    <w:rsid w:val="0096004A"/>
    <w:rsid w:val="00961770"/>
    <w:rsid w:val="00961D14"/>
    <w:rsid w:val="00962660"/>
    <w:rsid w:val="00963F04"/>
    <w:rsid w:val="00964B8E"/>
    <w:rsid w:val="00964EEB"/>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A41"/>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0F6"/>
    <w:rsid w:val="00A00DE4"/>
    <w:rsid w:val="00A00FA5"/>
    <w:rsid w:val="00A0302F"/>
    <w:rsid w:val="00A034D6"/>
    <w:rsid w:val="00A03DB5"/>
    <w:rsid w:val="00A04B4B"/>
    <w:rsid w:val="00A05486"/>
    <w:rsid w:val="00A06A2B"/>
    <w:rsid w:val="00A07231"/>
    <w:rsid w:val="00A07BF1"/>
    <w:rsid w:val="00A10230"/>
    <w:rsid w:val="00A139D3"/>
    <w:rsid w:val="00A144ED"/>
    <w:rsid w:val="00A1609F"/>
    <w:rsid w:val="00A1639A"/>
    <w:rsid w:val="00A16F28"/>
    <w:rsid w:val="00A22594"/>
    <w:rsid w:val="00A22FC1"/>
    <w:rsid w:val="00A2484D"/>
    <w:rsid w:val="00A249F8"/>
    <w:rsid w:val="00A258C2"/>
    <w:rsid w:val="00A261DF"/>
    <w:rsid w:val="00A276D0"/>
    <w:rsid w:val="00A27C72"/>
    <w:rsid w:val="00A305BA"/>
    <w:rsid w:val="00A3087E"/>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1AC7"/>
    <w:rsid w:val="00A91D17"/>
    <w:rsid w:val="00A9472C"/>
    <w:rsid w:val="00AA0A77"/>
    <w:rsid w:val="00AA4A78"/>
    <w:rsid w:val="00AA5259"/>
    <w:rsid w:val="00AA542A"/>
    <w:rsid w:val="00AA61D4"/>
    <w:rsid w:val="00AA7BFD"/>
    <w:rsid w:val="00AA7CF3"/>
    <w:rsid w:val="00AB0454"/>
    <w:rsid w:val="00AB0640"/>
    <w:rsid w:val="00AB1D20"/>
    <w:rsid w:val="00AB4A79"/>
    <w:rsid w:val="00AC372A"/>
    <w:rsid w:val="00AC6805"/>
    <w:rsid w:val="00AD0968"/>
    <w:rsid w:val="00AD241E"/>
    <w:rsid w:val="00AD394D"/>
    <w:rsid w:val="00AD5306"/>
    <w:rsid w:val="00AD5725"/>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4891"/>
    <w:rsid w:val="00B0598C"/>
    <w:rsid w:val="00B05C4B"/>
    <w:rsid w:val="00B05D21"/>
    <w:rsid w:val="00B10D6F"/>
    <w:rsid w:val="00B124AA"/>
    <w:rsid w:val="00B15322"/>
    <w:rsid w:val="00B15A50"/>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0428"/>
    <w:rsid w:val="00B6158F"/>
    <w:rsid w:val="00B63D1C"/>
    <w:rsid w:val="00B65737"/>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A7D81"/>
    <w:rsid w:val="00BB2E58"/>
    <w:rsid w:val="00BB3499"/>
    <w:rsid w:val="00BB52F5"/>
    <w:rsid w:val="00BB6A5E"/>
    <w:rsid w:val="00BB6E6E"/>
    <w:rsid w:val="00BC005D"/>
    <w:rsid w:val="00BC10F8"/>
    <w:rsid w:val="00BC4970"/>
    <w:rsid w:val="00BC53DB"/>
    <w:rsid w:val="00BD38AF"/>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6475"/>
    <w:rsid w:val="00C47C47"/>
    <w:rsid w:val="00C521FE"/>
    <w:rsid w:val="00C540BB"/>
    <w:rsid w:val="00C54CCA"/>
    <w:rsid w:val="00C54F22"/>
    <w:rsid w:val="00C55D84"/>
    <w:rsid w:val="00C56393"/>
    <w:rsid w:val="00C56BFB"/>
    <w:rsid w:val="00C6045C"/>
    <w:rsid w:val="00C6171B"/>
    <w:rsid w:val="00C61909"/>
    <w:rsid w:val="00C624D9"/>
    <w:rsid w:val="00C62A27"/>
    <w:rsid w:val="00C64580"/>
    <w:rsid w:val="00C64624"/>
    <w:rsid w:val="00C65E08"/>
    <w:rsid w:val="00C67192"/>
    <w:rsid w:val="00C703AD"/>
    <w:rsid w:val="00C70F02"/>
    <w:rsid w:val="00C718B7"/>
    <w:rsid w:val="00C71968"/>
    <w:rsid w:val="00C73715"/>
    <w:rsid w:val="00C75274"/>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A6F4F"/>
    <w:rsid w:val="00CB0CB0"/>
    <w:rsid w:val="00CB0ED4"/>
    <w:rsid w:val="00CB1EFF"/>
    <w:rsid w:val="00CB4C4E"/>
    <w:rsid w:val="00CB5322"/>
    <w:rsid w:val="00CB5DCD"/>
    <w:rsid w:val="00CB6518"/>
    <w:rsid w:val="00CB682F"/>
    <w:rsid w:val="00CB739A"/>
    <w:rsid w:val="00CB7A61"/>
    <w:rsid w:val="00CC1B49"/>
    <w:rsid w:val="00CC363D"/>
    <w:rsid w:val="00CC41FF"/>
    <w:rsid w:val="00CC64CA"/>
    <w:rsid w:val="00CC68BB"/>
    <w:rsid w:val="00CC7CB5"/>
    <w:rsid w:val="00CD2367"/>
    <w:rsid w:val="00CD3B05"/>
    <w:rsid w:val="00CD4387"/>
    <w:rsid w:val="00CE015E"/>
    <w:rsid w:val="00CE0215"/>
    <w:rsid w:val="00CE5E1A"/>
    <w:rsid w:val="00CE64FE"/>
    <w:rsid w:val="00CE6A7A"/>
    <w:rsid w:val="00CE70E1"/>
    <w:rsid w:val="00CE7F7E"/>
    <w:rsid w:val="00CF025B"/>
    <w:rsid w:val="00CF0602"/>
    <w:rsid w:val="00CF1711"/>
    <w:rsid w:val="00CF1C87"/>
    <w:rsid w:val="00CF1E9D"/>
    <w:rsid w:val="00CF22B9"/>
    <w:rsid w:val="00CF255A"/>
    <w:rsid w:val="00CF294E"/>
    <w:rsid w:val="00CF2D7E"/>
    <w:rsid w:val="00CF3F70"/>
    <w:rsid w:val="00CF46CC"/>
    <w:rsid w:val="00CF4A51"/>
    <w:rsid w:val="00D00E82"/>
    <w:rsid w:val="00D0233D"/>
    <w:rsid w:val="00D023EE"/>
    <w:rsid w:val="00D0240D"/>
    <w:rsid w:val="00D03F8C"/>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3CE4"/>
    <w:rsid w:val="00D350A6"/>
    <w:rsid w:val="00D3702F"/>
    <w:rsid w:val="00D3783E"/>
    <w:rsid w:val="00D37A3C"/>
    <w:rsid w:val="00D41CFB"/>
    <w:rsid w:val="00D43903"/>
    <w:rsid w:val="00D43FD9"/>
    <w:rsid w:val="00D4408D"/>
    <w:rsid w:val="00D44CBD"/>
    <w:rsid w:val="00D45874"/>
    <w:rsid w:val="00D462A5"/>
    <w:rsid w:val="00D46755"/>
    <w:rsid w:val="00D46997"/>
    <w:rsid w:val="00D479AF"/>
    <w:rsid w:val="00D500A1"/>
    <w:rsid w:val="00D51BB1"/>
    <w:rsid w:val="00D5565D"/>
    <w:rsid w:val="00D558F9"/>
    <w:rsid w:val="00D57547"/>
    <w:rsid w:val="00D60137"/>
    <w:rsid w:val="00D6173A"/>
    <w:rsid w:val="00D65084"/>
    <w:rsid w:val="00D65680"/>
    <w:rsid w:val="00D6604C"/>
    <w:rsid w:val="00D66756"/>
    <w:rsid w:val="00D66ACE"/>
    <w:rsid w:val="00D66E62"/>
    <w:rsid w:val="00D67BAD"/>
    <w:rsid w:val="00D729A5"/>
    <w:rsid w:val="00D72ECB"/>
    <w:rsid w:val="00D76019"/>
    <w:rsid w:val="00D76B5F"/>
    <w:rsid w:val="00D85AF2"/>
    <w:rsid w:val="00D86B2D"/>
    <w:rsid w:val="00D91190"/>
    <w:rsid w:val="00D91D3F"/>
    <w:rsid w:val="00D91FDE"/>
    <w:rsid w:val="00D975CB"/>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4D8"/>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3F0"/>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0D68"/>
    <w:rsid w:val="00E512B0"/>
    <w:rsid w:val="00E527E9"/>
    <w:rsid w:val="00E5372B"/>
    <w:rsid w:val="00E53C08"/>
    <w:rsid w:val="00E5768A"/>
    <w:rsid w:val="00E5779F"/>
    <w:rsid w:val="00E57A60"/>
    <w:rsid w:val="00E61736"/>
    <w:rsid w:val="00E61CDC"/>
    <w:rsid w:val="00E6487C"/>
    <w:rsid w:val="00E64C9D"/>
    <w:rsid w:val="00E6544B"/>
    <w:rsid w:val="00E65876"/>
    <w:rsid w:val="00E70574"/>
    <w:rsid w:val="00E718A6"/>
    <w:rsid w:val="00E77421"/>
    <w:rsid w:val="00E80FBE"/>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D72F3"/>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4C81"/>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574DD"/>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5C49"/>
    <w:rsid w:val="00F873EA"/>
    <w:rsid w:val="00F9258D"/>
    <w:rsid w:val="00F925E2"/>
    <w:rsid w:val="00F93629"/>
    <w:rsid w:val="00F9525E"/>
    <w:rsid w:val="00F952C5"/>
    <w:rsid w:val="00F95643"/>
    <w:rsid w:val="00F96A43"/>
    <w:rsid w:val="00F96DD8"/>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48E"/>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8D8BE3"/>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700F21"/>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0C7A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CA6F4F"/>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4686169">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366105203">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01038587">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ABB0F-C5A6-49F7-88D6-CC7A80A5F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5</Pages>
  <Words>1922</Words>
  <Characters>10571</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168</cp:revision>
  <cp:lastPrinted>2019-07-24T20:28:00Z</cp:lastPrinted>
  <dcterms:created xsi:type="dcterms:W3CDTF">2018-05-02T21:37:00Z</dcterms:created>
  <dcterms:modified xsi:type="dcterms:W3CDTF">2019-08-14T20:36:00Z</dcterms:modified>
</cp:coreProperties>
</file>