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075CB">
        <w:rPr>
          <w:rFonts w:ascii="Arial" w:hAnsi="Arial" w:cs="Arial"/>
          <w:b/>
          <w:bCs/>
          <w:iCs/>
          <w:sz w:val="26"/>
          <w:szCs w:val="22"/>
          <w:lang w:val="es-CR"/>
        </w:rPr>
        <w:t>735</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5A09E1" w:rsidRPr="008075CB" w:rsidRDefault="008075CB" w:rsidP="008075CB">
            <w:pPr>
              <w:jc w:val="both"/>
              <w:rPr>
                <w:rFonts w:ascii="Arial" w:eastAsia="Cambria" w:hAnsi="Arial" w:cs="Arial"/>
                <w:sz w:val="22"/>
                <w:szCs w:val="22"/>
                <w:lang w:val="es-ES_tradnl" w:eastAsia="en-US"/>
              </w:rPr>
            </w:pPr>
            <w:r w:rsidRPr="008075CB">
              <w:rPr>
                <w:rFonts w:ascii="Arial" w:hAnsi="Arial" w:cs="Arial"/>
                <w:sz w:val="22"/>
                <w:szCs w:val="22"/>
                <w:lang w:val="es-CR"/>
              </w:rPr>
              <w:t>Sra</w:t>
            </w:r>
            <w:r>
              <w:rPr>
                <w:rFonts w:ascii="Arial" w:hAnsi="Arial" w:cs="Arial"/>
                <w:sz w:val="22"/>
                <w:szCs w:val="22"/>
                <w:lang w:val="es-CR"/>
              </w:rPr>
              <w:t>.</w:t>
            </w:r>
            <w:bookmarkStart w:id="0" w:name="_GoBack"/>
            <w:bookmarkEnd w:id="0"/>
            <w:r w:rsidRPr="008075CB">
              <w:rPr>
                <w:rFonts w:ascii="Arial" w:hAnsi="Arial" w:cs="Arial"/>
                <w:sz w:val="22"/>
                <w:szCs w:val="22"/>
                <w:lang w:val="es-CR"/>
              </w:rPr>
              <w:t xml:space="preserve"> Ana Julia Araya Alfaro, Jefa de Área de Comisiones Legislativas II, Asamblea Legislativa</w:t>
            </w:r>
          </w:p>
          <w:p w:rsidR="008075CB" w:rsidRDefault="008075CB" w:rsidP="008075CB">
            <w:pPr>
              <w:jc w:val="both"/>
              <w:rPr>
                <w:rFonts w:ascii="Arial" w:eastAsia="Cambria" w:hAnsi="Arial" w:cs="Arial"/>
                <w:sz w:val="22"/>
                <w:szCs w:val="22"/>
                <w:lang w:val="es-ES_tradnl" w:eastAsia="en-US"/>
              </w:rPr>
            </w:pPr>
          </w:p>
          <w:p w:rsidR="008075CB" w:rsidRPr="005A09E1" w:rsidRDefault="008075CB" w:rsidP="008075C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2B1FB6"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5A09E1">
              <w:rPr>
                <w:rFonts w:ascii="Arial" w:eastAsia="Cambria" w:hAnsi="Arial" w:cs="Arial"/>
                <w:b/>
                <w:sz w:val="22"/>
                <w:szCs w:val="22"/>
                <w:lang w:val="es-ES_tradnl" w:eastAsia="en-US"/>
              </w:rPr>
              <w:t xml:space="preserve"> de agosto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075CB" w:rsidRPr="008075CB" w:rsidRDefault="00661A8B" w:rsidP="008075CB">
            <w:pPr>
              <w:autoSpaceDE w:val="0"/>
              <w:autoSpaceDN w:val="0"/>
              <w:adjustRightInd w:val="0"/>
              <w:ind w:right="-91"/>
              <w:jc w:val="both"/>
              <w:rPr>
                <w:rFonts w:ascii="Arial" w:hAnsi="Arial" w:cs="Arial"/>
                <w:b/>
                <w:sz w:val="22"/>
                <w:szCs w:val="22"/>
                <w:lang w:val="es-CR"/>
              </w:rPr>
            </w:pPr>
            <w:r w:rsidRPr="008F0835">
              <w:rPr>
                <w:rFonts w:ascii="Arial" w:eastAsia="Calibri" w:hAnsi="Arial" w:cs="Arial"/>
                <w:b/>
                <w:sz w:val="22"/>
                <w:szCs w:val="22"/>
              </w:rPr>
              <w:t>Sesión Ordinaria No. 3</w:t>
            </w:r>
            <w:r>
              <w:rPr>
                <w:rFonts w:ascii="Arial" w:eastAsia="Calibri" w:hAnsi="Arial" w:cs="Arial"/>
                <w:b/>
                <w:sz w:val="22"/>
                <w:szCs w:val="22"/>
              </w:rPr>
              <w:t>1</w:t>
            </w:r>
            <w:r w:rsidR="00000665">
              <w:rPr>
                <w:rFonts w:ascii="Arial" w:eastAsia="Calibri" w:hAnsi="Arial" w:cs="Arial"/>
                <w:b/>
                <w:sz w:val="22"/>
                <w:szCs w:val="22"/>
              </w:rPr>
              <w:t>3</w:t>
            </w:r>
            <w:r w:rsidR="002B1FB6">
              <w:rPr>
                <w:rFonts w:ascii="Arial" w:eastAsia="Calibri" w:hAnsi="Arial" w:cs="Arial"/>
                <w:b/>
                <w:sz w:val="22"/>
                <w:szCs w:val="22"/>
              </w:rPr>
              <w:t>1</w:t>
            </w:r>
            <w:r w:rsidRPr="008F0835">
              <w:rPr>
                <w:rFonts w:ascii="Arial" w:eastAsia="Calibri" w:hAnsi="Arial" w:cs="Arial"/>
                <w:b/>
                <w:sz w:val="22"/>
                <w:szCs w:val="22"/>
              </w:rPr>
              <w:t xml:space="preserve">, Artículo </w:t>
            </w:r>
            <w:r>
              <w:rPr>
                <w:rFonts w:ascii="Arial" w:eastAsia="Calibri" w:hAnsi="Arial" w:cs="Arial"/>
                <w:b/>
                <w:sz w:val="22"/>
                <w:szCs w:val="22"/>
              </w:rPr>
              <w:t>1</w:t>
            </w:r>
            <w:r w:rsidR="002B1FB6">
              <w:rPr>
                <w:rFonts w:ascii="Arial" w:eastAsia="Calibri" w:hAnsi="Arial" w:cs="Arial"/>
                <w:b/>
                <w:sz w:val="22"/>
                <w:szCs w:val="22"/>
              </w:rPr>
              <w:t>4</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2B1FB6">
              <w:rPr>
                <w:rFonts w:ascii="Arial" w:eastAsia="Calibri" w:hAnsi="Arial" w:cs="Arial"/>
                <w:b/>
                <w:sz w:val="22"/>
                <w:szCs w:val="22"/>
              </w:rPr>
              <w:t>14</w:t>
            </w:r>
            <w:r w:rsidR="00000665">
              <w:rPr>
                <w:rFonts w:ascii="Arial" w:eastAsia="Calibri" w:hAnsi="Arial" w:cs="Arial"/>
                <w:b/>
                <w:sz w:val="22"/>
                <w:szCs w:val="22"/>
              </w:rPr>
              <w:t xml:space="preserve"> de agosto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2B1FB6" w:rsidRPr="002B1FB6">
              <w:rPr>
                <w:rFonts w:ascii="Arial" w:eastAsia="Cambria" w:hAnsi="Arial" w:cs="Arial"/>
                <w:b/>
                <w:bCs/>
                <w:sz w:val="22"/>
                <w:szCs w:val="22"/>
                <w:lang w:val="es-CR" w:eastAsia="en-US"/>
              </w:rPr>
              <w:t xml:space="preserve">Pronunciamiento del Consejo Institucional sobre el Proyecto de </w:t>
            </w:r>
            <w:r w:rsidR="008075CB" w:rsidRPr="008075CB">
              <w:rPr>
                <w:rFonts w:ascii="Arial" w:hAnsi="Arial" w:cs="Arial"/>
                <w:b/>
                <w:sz w:val="22"/>
                <w:szCs w:val="22"/>
                <w:lang w:val="es-CR"/>
              </w:rPr>
              <w:t xml:space="preserve">“Ley General de la Alianza Público Privada (APP)”, Expediente No. 20.916 </w:t>
            </w:r>
          </w:p>
          <w:p w:rsidR="00661A8B" w:rsidRPr="00477A87" w:rsidRDefault="00661A8B" w:rsidP="002B1FB6">
            <w:pPr>
              <w:ind w:left="79" w:right="176"/>
              <w:jc w:val="both"/>
              <w:rPr>
                <w:rFonts w:ascii="Arial" w:eastAsia="Calibri" w:hAnsi="Arial" w:cs="Arial"/>
                <w:b/>
                <w:color w:val="000000"/>
                <w:sz w:val="22"/>
                <w:szCs w:val="22"/>
                <w:lang w:val="es-CR" w:eastAsia="en-US"/>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A09E1" w:rsidRDefault="005A09E1" w:rsidP="007742A1">
      <w:pPr>
        <w:jc w:val="both"/>
        <w:rPr>
          <w:rFonts w:ascii="Arial" w:eastAsia="Cambria" w:hAnsi="Arial" w:cs="Arial"/>
          <w:lang w:val="es-ES_tradnl" w:eastAsia="en-US"/>
        </w:rPr>
      </w:pPr>
    </w:p>
    <w:p w:rsidR="008075CB" w:rsidRPr="008075CB" w:rsidRDefault="008075CB" w:rsidP="008075CB">
      <w:pPr>
        <w:spacing w:after="200"/>
        <w:rPr>
          <w:rFonts w:ascii="Arial" w:hAnsi="Arial" w:cs="Arial"/>
          <w:b/>
          <w:bCs/>
          <w:i/>
          <w:iCs/>
          <w:kern w:val="32"/>
          <w:sz w:val="22"/>
          <w:szCs w:val="22"/>
        </w:rPr>
      </w:pPr>
      <w:r w:rsidRPr="008075CB">
        <w:rPr>
          <w:rFonts w:ascii="Arial" w:hAnsi="Arial" w:cs="Arial"/>
          <w:b/>
          <w:bCs/>
          <w:kern w:val="32"/>
          <w:sz w:val="22"/>
          <w:szCs w:val="22"/>
        </w:rPr>
        <w:t>RESULTANDO QUE:</w:t>
      </w:r>
    </w:p>
    <w:p w:rsidR="008075CB" w:rsidRPr="008075CB" w:rsidRDefault="008075CB" w:rsidP="008075CB">
      <w:pPr>
        <w:numPr>
          <w:ilvl w:val="0"/>
          <w:numId w:val="21"/>
        </w:numPr>
        <w:ind w:left="360"/>
        <w:jc w:val="both"/>
        <w:rPr>
          <w:rFonts w:ascii="Arial" w:hAnsi="Arial" w:cs="Arial"/>
          <w:sz w:val="22"/>
          <w:szCs w:val="22"/>
          <w:lang w:val="es-CR"/>
        </w:rPr>
      </w:pPr>
      <w:r w:rsidRPr="008075CB">
        <w:rPr>
          <w:rFonts w:ascii="Arial" w:hAnsi="Arial" w:cs="Arial"/>
          <w:sz w:val="22"/>
          <w:szCs w:val="22"/>
          <w:lang w:val="es-CR"/>
        </w:rPr>
        <w:t>El Artículo 88 de la Constitución Política de la República de Costa Rica, indica:</w:t>
      </w:r>
    </w:p>
    <w:p w:rsidR="008075CB" w:rsidRPr="008075CB" w:rsidRDefault="008075CB" w:rsidP="008075CB">
      <w:pPr>
        <w:ind w:left="360"/>
        <w:jc w:val="both"/>
        <w:rPr>
          <w:rFonts w:ascii="Arial" w:hAnsi="Arial" w:cs="Arial"/>
          <w:sz w:val="22"/>
          <w:szCs w:val="22"/>
          <w:lang w:val="es-CR"/>
        </w:rPr>
      </w:pPr>
    </w:p>
    <w:p w:rsidR="008075CB" w:rsidRPr="008075CB" w:rsidRDefault="008075CB" w:rsidP="008075CB">
      <w:pPr>
        <w:ind w:left="426" w:right="689"/>
        <w:jc w:val="both"/>
        <w:rPr>
          <w:rFonts w:ascii="Arial" w:hAnsi="Arial" w:cs="Arial"/>
          <w:i/>
          <w:sz w:val="22"/>
          <w:szCs w:val="22"/>
          <w:lang w:val="es-CR"/>
        </w:rPr>
      </w:pPr>
      <w:r w:rsidRPr="008075CB">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8075CB" w:rsidRPr="008075CB" w:rsidRDefault="008075CB" w:rsidP="008075CB">
      <w:pPr>
        <w:ind w:left="1080" w:right="689"/>
        <w:jc w:val="both"/>
        <w:rPr>
          <w:rFonts w:ascii="Arial" w:hAnsi="Arial" w:cs="Arial"/>
          <w:i/>
          <w:sz w:val="22"/>
          <w:szCs w:val="22"/>
          <w:lang w:val="es-CR"/>
        </w:rPr>
      </w:pPr>
    </w:p>
    <w:p w:rsidR="008075CB" w:rsidRPr="008075CB" w:rsidRDefault="008075CB" w:rsidP="008075CB">
      <w:pPr>
        <w:numPr>
          <w:ilvl w:val="0"/>
          <w:numId w:val="21"/>
        </w:numPr>
        <w:ind w:left="360"/>
        <w:jc w:val="both"/>
        <w:rPr>
          <w:rFonts w:ascii="Arial" w:hAnsi="Arial" w:cs="Arial"/>
          <w:sz w:val="22"/>
          <w:szCs w:val="22"/>
          <w:lang w:val="es-CR"/>
        </w:rPr>
      </w:pPr>
      <w:r w:rsidRPr="008075CB">
        <w:rPr>
          <w:rFonts w:ascii="Arial" w:hAnsi="Arial" w:cs="Arial"/>
          <w:sz w:val="22"/>
          <w:szCs w:val="22"/>
          <w:lang w:val="es-CR"/>
        </w:rPr>
        <w:t>El Artículo 84 de la Constitución Política de la República de Costa Rica, establece lo siguiente:</w:t>
      </w:r>
    </w:p>
    <w:p w:rsidR="008075CB" w:rsidRPr="008075CB" w:rsidRDefault="008075CB" w:rsidP="008075CB">
      <w:pPr>
        <w:jc w:val="both"/>
        <w:rPr>
          <w:rFonts w:ascii="Arial" w:hAnsi="Arial" w:cs="Arial"/>
          <w:sz w:val="22"/>
          <w:szCs w:val="22"/>
          <w:lang w:val="es-CR"/>
        </w:rPr>
      </w:pPr>
    </w:p>
    <w:p w:rsidR="008075CB" w:rsidRPr="008075CB" w:rsidRDefault="008075CB" w:rsidP="008075CB">
      <w:pPr>
        <w:ind w:left="426" w:right="689"/>
        <w:jc w:val="both"/>
        <w:rPr>
          <w:rFonts w:ascii="Arial" w:hAnsi="Arial" w:cs="Arial"/>
          <w:i/>
          <w:sz w:val="22"/>
          <w:szCs w:val="22"/>
          <w:lang w:val="es-CR"/>
        </w:rPr>
      </w:pPr>
      <w:r w:rsidRPr="008075CB">
        <w:rPr>
          <w:rFonts w:ascii="Arial" w:hAnsi="Arial" w:cs="Arial"/>
          <w:i/>
          <w:sz w:val="22"/>
          <w:szCs w:val="22"/>
          <w:lang w:val="es-CR"/>
        </w:rPr>
        <w:t xml:space="preserve">“La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El Estado las dotará de patrimonio propio y colaborará en su financiación”. </w:t>
      </w:r>
    </w:p>
    <w:p w:rsidR="008075CB" w:rsidRPr="008075CB" w:rsidRDefault="008075CB" w:rsidP="008075CB">
      <w:pPr>
        <w:jc w:val="both"/>
        <w:rPr>
          <w:rFonts w:ascii="Arial" w:hAnsi="Arial" w:cs="Arial"/>
          <w:sz w:val="22"/>
          <w:szCs w:val="22"/>
          <w:lang w:val="es-CR"/>
        </w:rPr>
      </w:pPr>
    </w:p>
    <w:p w:rsidR="008075CB" w:rsidRPr="008075CB" w:rsidRDefault="008075CB" w:rsidP="008075CB">
      <w:pPr>
        <w:numPr>
          <w:ilvl w:val="0"/>
          <w:numId w:val="21"/>
        </w:numPr>
        <w:ind w:left="360"/>
        <w:jc w:val="both"/>
        <w:rPr>
          <w:rFonts w:ascii="Arial" w:hAnsi="Arial" w:cs="Arial"/>
          <w:sz w:val="22"/>
          <w:szCs w:val="22"/>
          <w:lang w:val="es-CR"/>
        </w:rPr>
      </w:pPr>
      <w:r w:rsidRPr="008075CB">
        <w:rPr>
          <w:rFonts w:ascii="Arial" w:hAnsi="Arial" w:cs="Arial"/>
          <w:sz w:val="22"/>
          <w:szCs w:val="22"/>
          <w:lang w:val="es-CR"/>
        </w:rPr>
        <w:t>El Estatuto Orgánico del Instituto Tecnológico de Costa Rica, en el Artículo 18, inciso i), señala:</w:t>
      </w:r>
    </w:p>
    <w:p w:rsidR="008075CB" w:rsidRPr="008075CB" w:rsidRDefault="008075CB" w:rsidP="008075CB">
      <w:pPr>
        <w:ind w:left="1080" w:right="689"/>
        <w:jc w:val="both"/>
        <w:rPr>
          <w:rFonts w:ascii="Arial" w:hAnsi="Arial" w:cs="Arial"/>
          <w:i/>
          <w:sz w:val="22"/>
          <w:szCs w:val="22"/>
          <w:lang w:val="es-CR"/>
        </w:rPr>
      </w:pPr>
    </w:p>
    <w:p w:rsidR="008075CB" w:rsidRPr="008075CB" w:rsidRDefault="008075CB" w:rsidP="008075CB">
      <w:pPr>
        <w:ind w:left="426" w:right="689"/>
        <w:jc w:val="both"/>
        <w:rPr>
          <w:rFonts w:ascii="Arial" w:hAnsi="Arial" w:cs="Arial"/>
          <w:i/>
          <w:sz w:val="22"/>
          <w:szCs w:val="22"/>
          <w:lang w:val="es-CR"/>
        </w:rPr>
      </w:pPr>
      <w:r w:rsidRPr="008075CB">
        <w:rPr>
          <w:rFonts w:ascii="Arial" w:hAnsi="Arial" w:cs="Arial"/>
          <w:i/>
          <w:sz w:val="22"/>
          <w:szCs w:val="22"/>
          <w:lang w:val="es-CR"/>
        </w:rPr>
        <w:t>“Son funciones del Consejo Institucional:</w:t>
      </w:r>
    </w:p>
    <w:p w:rsidR="008075CB" w:rsidRPr="008075CB" w:rsidRDefault="008075CB" w:rsidP="008075CB">
      <w:pPr>
        <w:ind w:left="567" w:right="689"/>
        <w:jc w:val="both"/>
        <w:rPr>
          <w:rFonts w:ascii="Arial" w:hAnsi="Arial" w:cs="Arial"/>
          <w:i/>
          <w:sz w:val="22"/>
          <w:szCs w:val="22"/>
          <w:lang w:val="es-CR"/>
        </w:rPr>
      </w:pPr>
      <w:r w:rsidRPr="008075CB">
        <w:rPr>
          <w:rFonts w:ascii="Arial" w:hAnsi="Arial" w:cs="Arial"/>
          <w:i/>
          <w:sz w:val="22"/>
          <w:szCs w:val="22"/>
          <w:lang w:val="es-CR"/>
        </w:rPr>
        <w:t>…</w:t>
      </w:r>
    </w:p>
    <w:p w:rsidR="008075CB" w:rsidRPr="008075CB" w:rsidRDefault="008075CB" w:rsidP="008075CB">
      <w:pPr>
        <w:ind w:left="567" w:right="689"/>
        <w:jc w:val="both"/>
        <w:rPr>
          <w:rFonts w:ascii="Arial" w:hAnsi="Arial" w:cs="Arial"/>
          <w:i/>
          <w:sz w:val="22"/>
          <w:szCs w:val="22"/>
          <w:lang w:val="es-CR"/>
        </w:rPr>
      </w:pPr>
      <w:r w:rsidRPr="008075CB">
        <w:rPr>
          <w:rFonts w:ascii="Arial" w:hAnsi="Arial" w:cs="Arial"/>
          <w:i/>
          <w:sz w:val="22"/>
          <w:szCs w:val="22"/>
          <w:lang w:val="es-CR"/>
        </w:rPr>
        <w:t>Evacuar las consultas a que se refiere el Artículo 88 de la Constitución Política de la República”.</w:t>
      </w:r>
    </w:p>
    <w:p w:rsidR="008075CB" w:rsidRPr="008075CB" w:rsidRDefault="008075CB" w:rsidP="008075CB">
      <w:pPr>
        <w:ind w:right="689"/>
        <w:jc w:val="both"/>
        <w:rPr>
          <w:rFonts w:ascii="Arial" w:hAnsi="Arial" w:cs="Arial"/>
          <w:i/>
          <w:sz w:val="22"/>
          <w:szCs w:val="22"/>
          <w:lang w:val="es-CR"/>
        </w:rPr>
      </w:pPr>
    </w:p>
    <w:p w:rsidR="008075CB" w:rsidRPr="008075CB" w:rsidRDefault="008075CB" w:rsidP="008075CB">
      <w:pPr>
        <w:keepNext/>
        <w:jc w:val="both"/>
        <w:outlineLvl w:val="0"/>
        <w:rPr>
          <w:rFonts w:ascii="Arial" w:hAnsi="Arial" w:cs="Arial"/>
          <w:b/>
          <w:bCs/>
          <w:kern w:val="32"/>
          <w:sz w:val="22"/>
          <w:szCs w:val="22"/>
        </w:rPr>
      </w:pPr>
      <w:r w:rsidRPr="008075CB">
        <w:rPr>
          <w:rFonts w:ascii="Arial" w:hAnsi="Arial" w:cs="Arial"/>
          <w:b/>
          <w:bCs/>
          <w:kern w:val="32"/>
          <w:sz w:val="22"/>
          <w:szCs w:val="22"/>
        </w:rPr>
        <w:t>CONSIDERANDO QUE:</w:t>
      </w:r>
    </w:p>
    <w:p w:rsidR="008075CB" w:rsidRPr="008075CB" w:rsidRDefault="008075CB" w:rsidP="008075CB">
      <w:pPr>
        <w:jc w:val="both"/>
        <w:rPr>
          <w:sz w:val="20"/>
          <w:szCs w:val="20"/>
        </w:rPr>
      </w:pPr>
    </w:p>
    <w:p w:rsidR="008075CB" w:rsidRPr="008075CB" w:rsidRDefault="008075CB" w:rsidP="008075CB">
      <w:pPr>
        <w:numPr>
          <w:ilvl w:val="0"/>
          <w:numId w:val="22"/>
        </w:numPr>
        <w:ind w:left="284" w:hanging="284"/>
        <w:contextualSpacing/>
        <w:jc w:val="both"/>
        <w:rPr>
          <w:rFonts w:ascii="Arial" w:hAnsi="Arial" w:cs="Arial"/>
          <w:lang w:val="es-CR"/>
        </w:rPr>
      </w:pPr>
      <w:r w:rsidRPr="008075CB">
        <w:rPr>
          <w:rFonts w:ascii="Arial" w:hAnsi="Arial" w:cs="Arial"/>
          <w:lang w:val="es-CR"/>
        </w:rPr>
        <w:lastRenderedPageBreak/>
        <w:t>La Secretaría del Consejo Institucional recibió correo electrónico-AL-C20993-070-2019</w:t>
      </w:r>
      <w:r w:rsidRPr="008075CB">
        <w:rPr>
          <w:rFonts w:ascii="Arial" w:hAnsi="Arial" w:cs="Arial"/>
          <w:b/>
          <w:color w:val="7030A0"/>
          <w:lang w:val="es-CR"/>
        </w:rPr>
        <w:t>,</w:t>
      </w:r>
      <w:r w:rsidRPr="008075CB">
        <w:rPr>
          <w:rFonts w:ascii="Arial" w:hAnsi="Arial" w:cs="Arial"/>
          <w:b/>
          <w:color w:val="FF0000"/>
          <w:lang w:val="es-CR"/>
        </w:rPr>
        <w:t xml:space="preserve"> </w:t>
      </w:r>
      <w:r w:rsidRPr="008075CB">
        <w:rPr>
          <w:rFonts w:ascii="Arial" w:hAnsi="Arial" w:cs="Arial"/>
          <w:lang w:val="es-CR"/>
        </w:rPr>
        <w:t>con fecha de recibido 14 de junio de 2019, suscrito por la Señora Ana Julia Araya Alfaro, Jefa de Área de Comisiones Legislativas II, Asamblea Legislativa, dirigido el Dr. Julio C. Calvo Alvarado, Rector, trasladado al Consejo Institucional, en el cual la Comisión Especial de Infraestructura dispone consultar el criterio sobre el Proyecto de “Ley General de la Alianza Público Privada (APP), Expediente No. 20.916.</w:t>
      </w:r>
    </w:p>
    <w:p w:rsidR="008075CB" w:rsidRPr="008075CB" w:rsidRDefault="008075CB" w:rsidP="008075CB">
      <w:pPr>
        <w:ind w:left="284" w:hanging="284"/>
        <w:contextualSpacing/>
        <w:jc w:val="both"/>
        <w:rPr>
          <w:rFonts w:ascii="Arial" w:hAnsi="Arial" w:cs="Arial"/>
          <w:sz w:val="22"/>
          <w:szCs w:val="22"/>
          <w:lang w:val="es-CR"/>
        </w:rPr>
      </w:pPr>
    </w:p>
    <w:p w:rsidR="008075CB" w:rsidRPr="008075CB" w:rsidRDefault="008075CB" w:rsidP="008075CB">
      <w:pPr>
        <w:numPr>
          <w:ilvl w:val="0"/>
          <w:numId w:val="22"/>
        </w:numPr>
        <w:ind w:left="284" w:hanging="284"/>
        <w:contextualSpacing/>
        <w:jc w:val="both"/>
        <w:rPr>
          <w:rFonts w:ascii="Arial" w:hAnsi="Arial" w:cs="Arial"/>
          <w:lang w:val="es-CR"/>
        </w:rPr>
      </w:pPr>
      <w:r w:rsidRPr="008075CB">
        <w:rPr>
          <w:rFonts w:ascii="Arial" w:hAnsi="Arial" w:cs="Arial"/>
          <w:lang w:val="es-CR"/>
        </w:rPr>
        <w:t xml:space="preserve">La recepción del Proyecto de “Ley General de la Alianza Público Privada (APP), Expediente No. 20.91,6 fue conocida por el Consejo Institucional, en la Sesión Ordinaria 3124 del 19 de junio de 2019 y se acordó trasladarlo a la Oficina de Asesoría Legal, para la emisión de su criterio sobre el tema. </w:t>
      </w:r>
    </w:p>
    <w:p w:rsidR="008075CB" w:rsidRPr="008075CB" w:rsidRDefault="008075CB" w:rsidP="008075CB">
      <w:pPr>
        <w:contextualSpacing/>
        <w:jc w:val="both"/>
        <w:rPr>
          <w:rFonts w:ascii="Arial" w:hAnsi="Arial" w:cs="Arial"/>
          <w:lang w:val="es-CR"/>
        </w:rPr>
      </w:pPr>
    </w:p>
    <w:p w:rsidR="008075CB" w:rsidRPr="008075CB" w:rsidRDefault="008075CB" w:rsidP="008075CB">
      <w:pPr>
        <w:numPr>
          <w:ilvl w:val="0"/>
          <w:numId w:val="22"/>
        </w:numPr>
        <w:ind w:left="284" w:hanging="284"/>
        <w:contextualSpacing/>
        <w:jc w:val="both"/>
        <w:rPr>
          <w:rFonts w:ascii="Arial" w:hAnsi="Arial" w:cs="Arial"/>
          <w:lang w:val="es-CR"/>
        </w:rPr>
      </w:pPr>
      <w:r w:rsidRPr="008075CB">
        <w:rPr>
          <w:rFonts w:ascii="Arial" w:hAnsi="Arial" w:cs="Arial"/>
          <w:lang w:val="es-CR"/>
        </w:rPr>
        <w:t xml:space="preserve">La Secretaría del Consejo Institucional recibió el oficio Asesoría Legal-311-2019 del 25 de junio de 2019, mediante el cual la Oficina de Asesoría Legal emite criterio sobre el Proyecto “Ley General de la Alianza Público Privada (APP), Expediente No. 20.916. </w:t>
      </w:r>
    </w:p>
    <w:p w:rsidR="008075CB" w:rsidRPr="008075CB" w:rsidRDefault="008075CB" w:rsidP="008075CB">
      <w:pPr>
        <w:ind w:left="708"/>
        <w:rPr>
          <w:rFonts w:ascii="Arial" w:hAnsi="Arial" w:cs="Arial"/>
          <w:lang w:val="es-CR"/>
        </w:rPr>
      </w:pPr>
    </w:p>
    <w:p w:rsidR="008075CB" w:rsidRPr="008075CB" w:rsidRDefault="008075CB" w:rsidP="008075CB">
      <w:pPr>
        <w:numPr>
          <w:ilvl w:val="0"/>
          <w:numId w:val="22"/>
        </w:numPr>
        <w:ind w:left="284" w:hanging="284"/>
        <w:contextualSpacing/>
        <w:jc w:val="both"/>
        <w:rPr>
          <w:rFonts w:ascii="Arial" w:hAnsi="Arial" w:cs="Arial"/>
          <w:lang w:val="es-CR"/>
        </w:rPr>
      </w:pPr>
      <w:r w:rsidRPr="008075CB">
        <w:rPr>
          <w:rFonts w:ascii="Arial" w:hAnsi="Arial" w:cs="Arial"/>
          <w:lang w:val="es-CR"/>
        </w:rPr>
        <w:t>La Comisión de Estatuto analizó en la reunión 300-2019, realizada el 09 de agosto de 2019, el contenido del Proyecto de “Ley General de la Alianza Público Privada (APP), Expediente No. 20.916 y del oficio Asesoría Legal-311-2019 y dictaminó de la siguiente manera:</w:t>
      </w:r>
    </w:p>
    <w:p w:rsidR="008075CB" w:rsidRPr="008075CB" w:rsidRDefault="008075CB" w:rsidP="008075CB">
      <w:pPr>
        <w:jc w:val="both"/>
        <w:rPr>
          <w:rFonts w:ascii="Arial" w:hAnsi="Arial" w:cs="Arial"/>
          <w:sz w:val="20"/>
          <w:szCs w:val="20"/>
          <w:lang w:val="es-CR"/>
        </w:rPr>
      </w:pPr>
    </w:p>
    <w:p w:rsidR="008075CB" w:rsidRPr="008075CB" w:rsidRDefault="008075CB" w:rsidP="008075CB">
      <w:pPr>
        <w:ind w:left="284" w:right="-2"/>
        <w:jc w:val="both"/>
        <w:rPr>
          <w:rFonts w:ascii="Arial" w:hAnsi="Arial" w:cs="Arial"/>
          <w:i/>
          <w:sz w:val="22"/>
          <w:szCs w:val="22"/>
          <w:lang w:val="es-CR"/>
        </w:rPr>
      </w:pPr>
      <w:r w:rsidRPr="008075CB">
        <w:rPr>
          <w:rFonts w:ascii="Arial" w:hAnsi="Arial" w:cs="Arial"/>
          <w:i/>
          <w:sz w:val="22"/>
          <w:szCs w:val="22"/>
          <w:lang w:val="es-CR"/>
        </w:rPr>
        <w:t xml:space="preserve">“El proyecto de ley No. 20.196 contiene un elemento que amenaza la autonomía universitaria, dado que el inciso 3 del artículo 14 establece que “3-  En el caso de los proyectos vinculados a innovación y desarrollo tecnológico, se </w:t>
      </w:r>
      <w:proofErr w:type="gramStart"/>
      <w:r w:rsidRPr="008075CB">
        <w:rPr>
          <w:rFonts w:ascii="Arial" w:hAnsi="Arial" w:cs="Arial"/>
          <w:i/>
          <w:sz w:val="22"/>
          <w:szCs w:val="22"/>
          <w:lang w:val="es-CR"/>
        </w:rPr>
        <w:t>requerirá</w:t>
      </w:r>
      <w:proofErr w:type="gramEnd"/>
      <w:r w:rsidRPr="008075CB">
        <w:rPr>
          <w:rFonts w:ascii="Arial" w:hAnsi="Arial" w:cs="Arial"/>
          <w:i/>
          <w:sz w:val="22"/>
          <w:szCs w:val="22"/>
          <w:lang w:val="es-CR"/>
        </w:rPr>
        <w:t xml:space="preserve"> además, la previa aprobación del Ministerio de Ciencia y Tecnología mediante el procedimiento que se indicará en el reglamento de esta ley. Para el análisis y aprobación de estos proyectos el Ministerio deberá ajustarse a los principios orientadores del apoyo a la investigación científica, desarrollo tecnológico e innovación previstos en esa ley”, lo que somete a las universidades estatales a la aprobación previa del Ministerio de Ciencia y Tecnología en menoscabo de la independencia para el desempeño de sus funciones que les garantiza el artículo 84 de la Constitución Política de la República de Costa Rica. </w:t>
      </w:r>
    </w:p>
    <w:p w:rsidR="008075CB" w:rsidRPr="008075CB" w:rsidRDefault="008075CB" w:rsidP="008075CB">
      <w:pPr>
        <w:ind w:left="1080" w:right="689"/>
        <w:jc w:val="both"/>
        <w:rPr>
          <w:rFonts w:ascii="Arial" w:hAnsi="Arial" w:cs="Arial"/>
          <w:i/>
          <w:sz w:val="22"/>
          <w:szCs w:val="22"/>
          <w:lang w:val="es-CR"/>
        </w:rPr>
      </w:pPr>
    </w:p>
    <w:p w:rsidR="008075CB" w:rsidRPr="008075CB" w:rsidRDefault="008075CB" w:rsidP="008075CB">
      <w:pPr>
        <w:ind w:left="426" w:right="689" w:hanging="142"/>
        <w:jc w:val="both"/>
        <w:rPr>
          <w:rFonts w:ascii="Arial" w:hAnsi="Arial" w:cs="Arial"/>
          <w:i/>
          <w:sz w:val="22"/>
          <w:szCs w:val="22"/>
          <w:lang w:val="es-CR"/>
        </w:rPr>
      </w:pPr>
      <w:r w:rsidRPr="008075CB">
        <w:rPr>
          <w:rFonts w:ascii="Arial" w:hAnsi="Arial" w:cs="Arial"/>
          <w:i/>
          <w:sz w:val="22"/>
          <w:szCs w:val="22"/>
          <w:lang w:val="es-CR"/>
        </w:rPr>
        <w:t>Se recomienda solicitar que la redacción de ese punto sea la siguiente:</w:t>
      </w:r>
    </w:p>
    <w:p w:rsidR="008075CB" w:rsidRPr="008075CB" w:rsidRDefault="008075CB" w:rsidP="008075CB">
      <w:pPr>
        <w:ind w:left="1080" w:right="689"/>
        <w:jc w:val="both"/>
        <w:rPr>
          <w:rFonts w:ascii="Arial" w:hAnsi="Arial" w:cs="Arial"/>
          <w:i/>
          <w:sz w:val="22"/>
          <w:szCs w:val="22"/>
          <w:lang w:val="es-CR"/>
        </w:rPr>
      </w:pPr>
    </w:p>
    <w:p w:rsidR="008075CB" w:rsidRPr="008075CB" w:rsidRDefault="008075CB" w:rsidP="008075CB">
      <w:pPr>
        <w:ind w:left="284" w:right="-2"/>
        <w:jc w:val="both"/>
        <w:rPr>
          <w:rFonts w:ascii="Arial" w:hAnsi="Arial" w:cs="Arial"/>
          <w:i/>
          <w:sz w:val="22"/>
          <w:szCs w:val="22"/>
          <w:lang w:val="es-CR"/>
        </w:rPr>
      </w:pPr>
      <w:bookmarkStart w:id="1" w:name="_Hlk16341017"/>
      <w:r w:rsidRPr="008075CB">
        <w:rPr>
          <w:rFonts w:ascii="Arial" w:hAnsi="Arial" w:cs="Arial"/>
          <w:i/>
          <w:sz w:val="22"/>
          <w:szCs w:val="22"/>
          <w:lang w:val="es-CR"/>
        </w:rPr>
        <w:t xml:space="preserve">3- En el caso de los proyectos vinculados a innovación y desarrollo tecnológico, </w:t>
      </w:r>
      <w:r w:rsidRPr="008075CB">
        <w:rPr>
          <w:rFonts w:ascii="Arial" w:hAnsi="Arial" w:cs="Arial"/>
          <w:b/>
          <w:i/>
          <w:sz w:val="22"/>
          <w:szCs w:val="22"/>
          <w:lang w:val="es-CR"/>
        </w:rPr>
        <w:t>salvo los que desarrollen las universidades estatales</w:t>
      </w:r>
      <w:r w:rsidRPr="008075CB">
        <w:rPr>
          <w:rFonts w:ascii="Arial" w:hAnsi="Arial" w:cs="Arial"/>
          <w:i/>
          <w:sz w:val="22"/>
          <w:szCs w:val="22"/>
          <w:lang w:val="es-CR"/>
        </w:rPr>
        <w:t xml:space="preserve">, se </w:t>
      </w:r>
      <w:proofErr w:type="gramStart"/>
      <w:r w:rsidRPr="008075CB">
        <w:rPr>
          <w:rFonts w:ascii="Arial" w:hAnsi="Arial" w:cs="Arial"/>
          <w:i/>
          <w:sz w:val="22"/>
          <w:szCs w:val="22"/>
          <w:lang w:val="es-CR"/>
        </w:rPr>
        <w:t>requerirá</w:t>
      </w:r>
      <w:proofErr w:type="gramEnd"/>
      <w:r w:rsidRPr="008075CB">
        <w:rPr>
          <w:rFonts w:ascii="Arial" w:hAnsi="Arial" w:cs="Arial"/>
          <w:i/>
          <w:sz w:val="22"/>
          <w:szCs w:val="22"/>
          <w:lang w:val="es-CR"/>
        </w:rPr>
        <w:t xml:space="preserve"> además, la previa aprobación del Ministerio de Ciencia y Tecnología mediante el procedimiento que se indicará en el reglamento de esta ley. Para el análisis y aprobación de estos proyectos el Ministerio deberá ajustarse a los principios orientadores del apoyo a la investigación científica, desarrollo tecnológico e innovación previstos en esa ley”. </w:t>
      </w:r>
    </w:p>
    <w:bookmarkEnd w:id="1"/>
    <w:p w:rsidR="008075CB" w:rsidRPr="008075CB" w:rsidRDefault="008075CB" w:rsidP="008075CB">
      <w:pPr>
        <w:contextualSpacing/>
        <w:jc w:val="both"/>
        <w:rPr>
          <w:rFonts w:ascii="Arial" w:hAnsi="Arial" w:cs="Arial"/>
          <w:sz w:val="22"/>
          <w:szCs w:val="22"/>
          <w:lang w:val="es-CR"/>
        </w:rPr>
      </w:pPr>
    </w:p>
    <w:p w:rsidR="008075CB" w:rsidRPr="008075CB" w:rsidRDefault="008075CB" w:rsidP="008075CB">
      <w:pPr>
        <w:keepNext/>
        <w:keepLines/>
        <w:spacing w:before="40"/>
        <w:outlineLvl w:val="1"/>
        <w:rPr>
          <w:rFonts w:ascii="Arial" w:eastAsiaTheme="majorEastAsia" w:hAnsi="Arial" w:cs="Arial"/>
          <w:b/>
          <w:bCs/>
          <w:kern w:val="32"/>
          <w:sz w:val="22"/>
          <w:szCs w:val="22"/>
        </w:rPr>
      </w:pPr>
      <w:r w:rsidRPr="008075CB">
        <w:rPr>
          <w:rFonts w:ascii="Arial" w:hAnsi="Arial" w:cs="Arial"/>
          <w:b/>
          <w:bCs/>
          <w:kern w:val="32"/>
          <w:sz w:val="22"/>
          <w:szCs w:val="22"/>
        </w:rPr>
        <w:t>SE</w:t>
      </w:r>
      <w:r>
        <w:rPr>
          <w:rFonts w:ascii="Arial" w:hAnsi="Arial" w:cs="Arial"/>
          <w:b/>
          <w:bCs/>
          <w:kern w:val="32"/>
          <w:sz w:val="22"/>
          <w:szCs w:val="22"/>
        </w:rPr>
        <w:t xml:space="preserve"> ACUERDA</w:t>
      </w:r>
      <w:r w:rsidRPr="008075CB">
        <w:rPr>
          <w:rFonts w:ascii="Arial" w:hAnsi="Arial" w:cs="Arial"/>
          <w:b/>
          <w:bCs/>
          <w:kern w:val="32"/>
          <w:sz w:val="22"/>
          <w:szCs w:val="22"/>
        </w:rPr>
        <w:t>:</w:t>
      </w:r>
    </w:p>
    <w:p w:rsidR="008075CB" w:rsidRPr="008075CB" w:rsidRDefault="008075CB" w:rsidP="008075CB">
      <w:pPr>
        <w:rPr>
          <w:sz w:val="20"/>
          <w:szCs w:val="20"/>
        </w:rPr>
      </w:pPr>
    </w:p>
    <w:p w:rsidR="008075CB" w:rsidRPr="008075CB" w:rsidRDefault="008075CB" w:rsidP="008075CB">
      <w:pPr>
        <w:numPr>
          <w:ilvl w:val="0"/>
          <w:numId w:val="23"/>
        </w:numPr>
        <w:autoSpaceDE w:val="0"/>
        <w:autoSpaceDN w:val="0"/>
        <w:adjustRightInd w:val="0"/>
        <w:ind w:left="426" w:right="-91" w:hanging="426"/>
        <w:jc w:val="both"/>
        <w:rPr>
          <w:rFonts w:ascii="Arial" w:eastAsia="Cambria" w:hAnsi="Arial" w:cs="Arial"/>
          <w:lang w:eastAsia="en-US"/>
        </w:rPr>
      </w:pPr>
      <w:r w:rsidRPr="008075CB">
        <w:rPr>
          <w:rFonts w:ascii="Arial" w:eastAsia="Cambria" w:hAnsi="Arial" w:cs="Arial"/>
          <w:lang w:eastAsia="en-US"/>
        </w:rPr>
        <w:t xml:space="preserve">Comunicar a la </w:t>
      </w:r>
      <w:r w:rsidRPr="008075CB">
        <w:rPr>
          <w:rFonts w:ascii="Arial" w:hAnsi="Arial" w:cs="Arial"/>
          <w:lang w:val="es-CR"/>
        </w:rPr>
        <w:t xml:space="preserve">Comisión Especial de Infraestructura de la </w:t>
      </w:r>
      <w:r w:rsidRPr="008075CB">
        <w:rPr>
          <w:rFonts w:ascii="Arial" w:eastAsia="Cambria" w:hAnsi="Arial" w:cs="Arial"/>
          <w:lang w:eastAsia="en-US"/>
        </w:rPr>
        <w:t>Asamblea Legislativa lo siguiente:</w:t>
      </w:r>
    </w:p>
    <w:p w:rsidR="008075CB" w:rsidRPr="008075CB" w:rsidRDefault="008075CB" w:rsidP="008075CB">
      <w:pPr>
        <w:autoSpaceDE w:val="0"/>
        <w:autoSpaceDN w:val="0"/>
        <w:adjustRightInd w:val="0"/>
        <w:ind w:right="-91"/>
        <w:jc w:val="both"/>
        <w:rPr>
          <w:rFonts w:ascii="Arial" w:eastAsia="Cambria" w:hAnsi="Arial" w:cs="Arial"/>
          <w:sz w:val="22"/>
          <w:szCs w:val="22"/>
          <w:lang w:eastAsia="en-US"/>
        </w:rPr>
      </w:pPr>
    </w:p>
    <w:tbl>
      <w:tblPr>
        <w:tblStyle w:val="Tablaconcuadrcula13"/>
        <w:tblW w:w="9776" w:type="dxa"/>
        <w:tblLayout w:type="fixed"/>
        <w:tblLook w:val="04A0" w:firstRow="1" w:lastRow="0" w:firstColumn="1" w:lastColumn="0" w:noHBand="0" w:noVBand="1"/>
      </w:tblPr>
      <w:tblGrid>
        <w:gridCol w:w="1554"/>
        <w:gridCol w:w="2835"/>
        <w:gridCol w:w="1984"/>
        <w:gridCol w:w="3403"/>
      </w:tblGrid>
      <w:tr w:rsidR="008075CB" w:rsidRPr="008075CB" w:rsidTr="00901A65">
        <w:tc>
          <w:tcPr>
            <w:tcW w:w="1554" w:type="dxa"/>
          </w:tcPr>
          <w:p w:rsidR="008075CB" w:rsidRPr="008075CB" w:rsidRDefault="008075CB" w:rsidP="008075CB">
            <w:pPr>
              <w:autoSpaceDE w:val="0"/>
              <w:autoSpaceDN w:val="0"/>
              <w:adjustRightInd w:val="0"/>
              <w:ind w:right="-91"/>
              <w:jc w:val="center"/>
              <w:rPr>
                <w:rFonts w:ascii="Arial" w:eastAsia="Cambria" w:hAnsi="Arial" w:cs="Arial"/>
                <w:b/>
                <w:sz w:val="22"/>
                <w:szCs w:val="22"/>
                <w:lang w:eastAsia="en-US"/>
              </w:rPr>
            </w:pPr>
            <w:r w:rsidRPr="008075CB">
              <w:rPr>
                <w:rFonts w:ascii="Arial" w:eastAsia="Cambria" w:hAnsi="Arial" w:cs="Arial"/>
                <w:b/>
                <w:sz w:val="22"/>
                <w:szCs w:val="22"/>
                <w:lang w:eastAsia="en-US"/>
              </w:rPr>
              <w:t>No. Expediente</w:t>
            </w:r>
          </w:p>
        </w:tc>
        <w:tc>
          <w:tcPr>
            <w:tcW w:w="2835" w:type="dxa"/>
          </w:tcPr>
          <w:p w:rsidR="008075CB" w:rsidRPr="008075CB" w:rsidRDefault="008075CB" w:rsidP="008075CB">
            <w:pPr>
              <w:autoSpaceDE w:val="0"/>
              <w:autoSpaceDN w:val="0"/>
              <w:adjustRightInd w:val="0"/>
              <w:ind w:right="-91"/>
              <w:jc w:val="center"/>
              <w:rPr>
                <w:rFonts w:ascii="Arial" w:eastAsia="Cambria" w:hAnsi="Arial" w:cs="Arial"/>
                <w:b/>
                <w:sz w:val="22"/>
                <w:szCs w:val="22"/>
                <w:lang w:eastAsia="en-US"/>
              </w:rPr>
            </w:pPr>
            <w:r w:rsidRPr="008075CB">
              <w:rPr>
                <w:rFonts w:ascii="Arial" w:eastAsia="Cambria" w:hAnsi="Arial" w:cs="Arial"/>
                <w:b/>
                <w:sz w:val="22"/>
                <w:szCs w:val="22"/>
                <w:lang w:eastAsia="en-US"/>
              </w:rPr>
              <w:t>Nombre del Proyecto</w:t>
            </w:r>
          </w:p>
        </w:tc>
        <w:tc>
          <w:tcPr>
            <w:tcW w:w="1984" w:type="dxa"/>
          </w:tcPr>
          <w:p w:rsidR="008075CB" w:rsidRPr="008075CB" w:rsidRDefault="008075CB" w:rsidP="008075CB">
            <w:pPr>
              <w:autoSpaceDE w:val="0"/>
              <w:autoSpaceDN w:val="0"/>
              <w:adjustRightInd w:val="0"/>
              <w:ind w:right="-91"/>
              <w:jc w:val="center"/>
              <w:rPr>
                <w:rFonts w:ascii="Arial" w:eastAsia="Cambria" w:hAnsi="Arial" w:cs="Arial"/>
                <w:b/>
                <w:sz w:val="22"/>
                <w:szCs w:val="22"/>
                <w:lang w:eastAsia="en-US"/>
              </w:rPr>
            </w:pPr>
            <w:r w:rsidRPr="008075CB">
              <w:rPr>
                <w:rFonts w:ascii="Arial" w:eastAsia="Cambria" w:hAnsi="Arial" w:cs="Arial"/>
                <w:b/>
                <w:sz w:val="22"/>
                <w:szCs w:val="22"/>
                <w:lang w:eastAsia="en-US"/>
              </w:rPr>
              <w:t>Transgrede o no la Autonomía Universitaria</w:t>
            </w:r>
          </w:p>
        </w:tc>
        <w:tc>
          <w:tcPr>
            <w:tcW w:w="3403" w:type="dxa"/>
          </w:tcPr>
          <w:p w:rsidR="008075CB" w:rsidRPr="008075CB" w:rsidRDefault="008075CB" w:rsidP="008075CB">
            <w:pPr>
              <w:autoSpaceDE w:val="0"/>
              <w:autoSpaceDN w:val="0"/>
              <w:adjustRightInd w:val="0"/>
              <w:ind w:right="-91"/>
              <w:jc w:val="center"/>
              <w:rPr>
                <w:rFonts w:ascii="Arial" w:eastAsia="Cambria" w:hAnsi="Arial" w:cs="Arial"/>
                <w:b/>
                <w:sz w:val="22"/>
                <w:szCs w:val="22"/>
                <w:lang w:eastAsia="en-US"/>
              </w:rPr>
            </w:pPr>
            <w:r w:rsidRPr="008075CB">
              <w:rPr>
                <w:rFonts w:ascii="Arial" w:eastAsia="Cambria" w:hAnsi="Arial" w:cs="Arial"/>
                <w:b/>
                <w:sz w:val="22"/>
                <w:szCs w:val="22"/>
                <w:lang w:eastAsia="en-US"/>
              </w:rPr>
              <w:t>Se solicita</w:t>
            </w:r>
          </w:p>
        </w:tc>
      </w:tr>
      <w:tr w:rsidR="008075CB" w:rsidRPr="008075CB" w:rsidTr="00901A65">
        <w:tc>
          <w:tcPr>
            <w:tcW w:w="1554" w:type="dxa"/>
          </w:tcPr>
          <w:p w:rsidR="008075CB" w:rsidRPr="008075CB" w:rsidRDefault="008075CB" w:rsidP="008075CB">
            <w:pPr>
              <w:autoSpaceDE w:val="0"/>
              <w:autoSpaceDN w:val="0"/>
              <w:adjustRightInd w:val="0"/>
              <w:ind w:right="-91"/>
              <w:jc w:val="center"/>
              <w:rPr>
                <w:rFonts w:ascii="Arial" w:eastAsia="Cambria" w:hAnsi="Arial" w:cs="Arial"/>
                <w:b/>
                <w:sz w:val="22"/>
                <w:szCs w:val="22"/>
                <w:lang w:eastAsia="en-US"/>
              </w:rPr>
            </w:pPr>
            <w:r w:rsidRPr="008075CB">
              <w:rPr>
                <w:rFonts w:ascii="Arial" w:eastAsia="SimSun" w:hAnsi="Arial" w:cs="Arial"/>
                <w:b/>
                <w:iCs/>
                <w:sz w:val="20"/>
                <w:szCs w:val="20"/>
              </w:rPr>
              <w:lastRenderedPageBreak/>
              <w:t>20.916</w:t>
            </w:r>
          </w:p>
        </w:tc>
        <w:tc>
          <w:tcPr>
            <w:tcW w:w="2835" w:type="dxa"/>
          </w:tcPr>
          <w:p w:rsidR="008075CB" w:rsidRPr="008075CB" w:rsidRDefault="008075CB" w:rsidP="008075CB">
            <w:pPr>
              <w:jc w:val="both"/>
              <w:rPr>
                <w:rFonts w:ascii="Arial" w:eastAsia="SimSun" w:hAnsi="Arial" w:cs="Arial"/>
                <w:b/>
                <w:iCs/>
                <w:sz w:val="20"/>
                <w:szCs w:val="20"/>
              </w:rPr>
            </w:pPr>
            <w:r w:rsidRPr="008075CB">
              <w:rPr>
                <w:rFonts w:ascii="Arial" w:eastAsia="SimSun" w:hAnsi="Arial" w:cs="Arial"/>
                <w:b/>
                <w:iCs/>
                <w:sz w:val="20"/>
                <w:szCs w:val="20"/>
              </w:rPr>
              <w:t xml:space="preserve">Proyecto de “Ley General de la Alianza Público Privada (APP) </w:t>
            </w:r>
          </w:p>
          <w:p w:rsidR="008075CB" w:rsidRPr="008075CB" w:rsidRDefault="008075CB" w:rsidP="008075CB">
            <w:pPr>
              <w:autoSpaceDE w:val="0"/>
              <w:autoSpaceDN w:val="0"/>
              <w:adjustRightInd w:val="0"/>
              <w:ind w:right="-91"/>
              <w:jc w:val="both"/>
              <w:rPr>
                <w:rFonts w:ascii="Arial" w:eastAsia="Cambria" w:hAnsi="Arial" w:cs="Arial"/>
                <w:sz w:val="22"/>
                <w:szCs w:val="22"/>
                <w:lang w:val="es-CR" w:eastAsia="en-US"/>
              </w:rPr>
            </w:pPr>
          </w:p>
        </w:tc>
        <w:tc>
          <w:tcPr>
            <w:tcW w:w="1984" w:type="dxa"/>
          </w:tcPr>
          <w:p w:rsidR="008075CB" w:rsidRPr="008075CB" w:rsidRDefault="008075CB" w:rsidP="008075CB">
            <w:pPr>
              <w:autoSpaceDE w:val="0"/>
              <w:autoSpaceDN w:val="0"/>
              <w:adjustRightInd w:val="0"/>
              <w:ind w:right="-91"/>
              <w:jc w:val="center"/>
              <w:rPr>
                <w:rFonts w:ascii="Arial" w:eastAsia="Cambria" w:hAnsi="Arial" w:cs="Arial"/>
                <w:sz w:val="22"/>
                <w:szCs w:val="22"/>
                <w:lang w:eastAsia="en-US"/>
              </w:rPr>
            </w:pPr>
            <w:r w:rsidRPr="008075CB">
              <w:rPr>
                <w:rFonts w:ascii="Arial" w:eastAsia="Cambria" w:hAnsi="Arial" w:cs="Arial"/>
                <w:sz w:val="22"/>
                <w:szCs w:val="22"/>
                <w:lang w:eastAsia="en-US"/>
              </w:rPr>
              <w:t>Sí</w:t>
            </w:r>
          </w:p>
        </w:tc>
        <w:tc>
          <w:tcPr>
            <w:tcW w:w="3403" w:type="dxa"/>
          </w:tcPr>
          <w:p w:rsidR="008075CB" w:rsidRPr="008075CB" w:rsidRDefault="008075CB" w:rsidP="008075CB">
            <w:pPr>
              <w:ind w:left="38" w:right="179"/>
              <w:jc w:val="both"/>
              <w:rPr>
                <w:rFonts w:ascii="Arial" w:hAnsi="Arial" w:cs="Arial"/>
                <w:sz w:val="22"/>
                <w:szCs w:val="22"/>
              </w:rPr>
            </w:pPr>
            <w:r w:rsidRPr="008075CB">
              <w:rPr>
                <w:rFonts w:ascii="Arial" w:hAnsi="Arial" w:cs="Arial"/>
                <w:sz w:val="22"/>
                <w:szCs w:val="22"/>
              </w:rPr>
              <w:t>Modificar la redacción del punto 3 del artículo 14 de manera que se lea como sigue:</w:t>
            </w:r>
          </w:p>
          <w:p w:rsidR="008075CB" w:rsidRPr="008075CB" w:rsidRDefault="008075CB" w:rsidP="008075CB">
            <w:pPr>
              <w:ind w:left="38" w:right="179"/>
              <w:jc w:val="both"/>
              <w:rPr>
                <w:rFonts w:ascii="Arial" w:hAnsi="Arial" w:cs="Arial"/>
                <w:sz w:val="22"/>
                <w:szCs w:val="22"/>
              </w:rPr>
            </w:pPr>
          </w:p>
          <w:p w:rsidR="008075CB" w:rsidRPr="008075CB" w:rsidRDefault="008075CB" w:rsidP="008075CB">
            <w:pPr>
              <w:ind w:left="38" w:right="179"/>
              <w:jc w:val="both"/>
              <w:rPr>
                <w:rFonts w:ascii="Arial" w:hAnsi="Arial" w:cs="Arial"/>
                <w:sz w:val="22"/>
                <w:szCs w:val="22"/>
              </w:rPr>
            </w:pPr>
            <w:r w:rsidRPr="008075CB">
              <w:rPr>
                <w:rFonts w:ascii="Arial" w:hAnsi="Arial" w:cs="Arial"/>
                <w:sz w:val="22"/>
                <w:szCs w:val="22"/>
              </w:rPr>
              <w:t xml:space="preserve">3- En el caso de los proyectos vinculados con innovación y desarrollo tecnológico, </w:t>
            </w:r>
            <w:r w:rsidRPr="008075CB">
              <w:rPr>
                <w:rFonts w:ascii="Arial" w:hAnsi="Arial" w:cs="Arial"/>
                <w:b/>
                <w:sz w:val="22"/>
                <w:szCs w:val="22"/>
              </w:rPr>
              <w:t>salvo los que desarrollen las universidades estatales</w:t>
            </w:r>
            <w:r w:rsidRPr="008075CB">
              <w:rPr>
                <w:rFonts w:ascii="Arial" w:hAnsi="Arial" w:cs="Arial"/>
                <w:sz w:val="22"/>
                <w:szCs w:val="22"/>
              </w:rPr>
              <w:t xml:space="preserve">, se </w:t>
            </w:r>
            <w:proofErr w:type="gramStart"/>
            <w:r w:rsidRPr="008075CB">
              <w:rPr>
                <w:rFonts w:ascii="Arial" w:hAnsi="Arial" w:cs="Arial"/>
                <w:sz w:val="22"/>
                <w:szCs w:val="22"/>
              </w:rPr>
              <w:t>requerirá</w:t>
            </w:r>
            <w:proofErr w:type="gramEnd"/>
            <w:r w:rsidRPr="008075CB">
              <w:rPr>
                <w:rFonts w:ascii="Arial" w:hAnsi="Arial" w:cs="Arial"/>
                <w:sz w:val="22"/>
                <w:szCs w:val="22"/>
              </w:rPr>
              <w:t xml:space="preserve"> además, la previa aprobación del Ministerio de Ciencia y Tecnología mediante el procedimiento que se indicará en el reglamento de esta ley. Para el análisis y aprobación de estos proyectos el Ministerio deberá ajustarse a los principios orientadores del apoyo a la investigación científica, desarrollo tecnológico e innovación previstos en esa ley. </w:t>
            </w:r>
          </w:p>
          <w:p w:rsidR="008075CB" w:rsidRPr="008075CB" w:rsidRDefault="008075CB" w:rsidP="008075CB">
            <w:pPr>
              <w:autoSpaceDE w:val="0"/>
              <w:autoSpaceDN w:val="0"/>
              <w:ind w:left="38" w:right="179"/>
              <w:jc w:val="both"/>
              <w:rPr>
                <w:rFonts w:ascii="Arial" w:hAnsi="Arial" w:cs="Arial"/>
                <w:sz w:val="22"/>
                <w:szCs w:val="22"/>
                <w:lang w:val="es-CR"/>
              </w:rPr>
            </w:pPr>
          </w:p>
        </w:tc>
      </w:tr>
    </w:tbl>
    <w:p w:rsidR="008075CB" w:rsidRPr="008075CB" w:rsidRDefault="008075CB" w:rsidP="007742A1">
      <w:pPr>
        <w:jc w:val="both"/>
        <w:rPr>
          <w:rFonts w:ascii="Arial" w:eastAsia="Cambria" w:hAnsi="Arial" w:cs="Arial"/>
          <w:lang w:val="es-CR" w:eastAsia="en-US"/>
        </w:rPr>
      </w:pPr>
    </w:p>
    <w:p w:rsidR="00BB3499" w:rsidRDefault="00BB3499" w:rsidP="007742A1">
      <w:pPr>
        <w:jc w:val="both"/>
        <w:rPr>
          <w:rFonts w:ascii="Arial" w:eastAsia="Cambria" w:hAnsi="Arial" w:cs="Arial"/>
          <w:lang w:val="es-ES_tradnl" w:eastAsia="en-US"/>
        </w:rPr>
      </w:pPr>
    </w:p>
    <w:p w:rsidR="00492D0B" w:rsidRPr="00BF6609" w:rsidRDefault="00492D0B" w:rsidP="008075CB">
      <w:pPr>
        <w:numPr>
          <w:ilvl w:val="0"/>
          <w:numId w:val="23"/>
        </w:numPr>
        <w:autoSpaceDE w:val="0"/>
        <w:autoSpaceDN w:val="0"/>
        <w:adjustRightInd w:val="0"/>
        <w:ind w:left="426" w:right="-91" w:hanging="426"/>
        <w:jc w:val="both"/>
        <w:rPr>
          <w:rFonts w:ascii="Arial" w:hAnsi="Arial" w:cs="Arial"/>
          <w:b/>
          <w:lang w:val="es-CR"/>
        </w:rPr>
      </w:pPr>
      <w:r w:rsidRPr="00BF6609">
        <w:rPr>
          <w:rFonts w:ascii="Arial" w:eastAsia="Cambria" w:hAnsi="Arial" w:cs="Arial"/>
          <w:lang w:eastAsia="en-US"/>
        </w:rPr>
        <w:t>Comunicar</w:t>
      </w:r>
      <w:r w:rsidRPr="00BF6609">
        <w:rPr>
          <w:rFonts w:ascii="Arial" w:hAnsi="Arial" w:cs="Arial"/>
          <w:lang w:val="es-CR"/>
        </w:rPr>
        <w:t xml:space="preserve">. </w:t>
      </w:r>
      <w:r w:rsidRPr="00BF6609">
        <w:rPr>
          <w:rFonts w:ascii="Arial" w:hAnsi="Arial" w:cs="Arial"/>
          <w:b/>
          <w:lang w:val="es-CR"/>
        </w:rPr>
        <w:t xml:space="preserve"> ACUERDO FIRME.</w:t>
      </w:r>
    </w:p>
    <w:p w:rsidR="008948E6" w:rsidRPr="008948E6" w:rsidRDefault="008948E6" w:rsidP="008948E6">
      <w:pPr>
        <w:ind w:left="284"/>
        <w:jc w:val="both"/>
        <w:rPr>
          <w:rFonts w:ascii="Arial" w:eastAsia="Calibri" w:hAnsi="Arial" w:cs="Arial"/>
          <w:i/>
          <w:sz w:val="22"/>
          <w:szCs w:val="22"/>
        </w:rPr>
      </w:pPr>
    </w:p>
    <w:p w:rsidR="008948E6" w:rsidRPr="008948E6" w:rsidRDefault="008948E6" w:rsidP="008948E6">
      <w:pPr>
        <w:ind w:left="284"/>
        <w:jc w:val="both"/>
        <w:rPr>
          <w:rFonts w:ascii="Arial" w:eastAsia="Calibri" w:hAnsi="Arial" w:cs="Arial"/>
          <w:i/>
          <w:sz w:val="22"/>
          <w:szCs w:val="22"/>
        </w:rPr>
      </w:pPr>
    </w:p>
    <w:p w:rsidR="008075CB" w:rsidRPr="008075CB" w:rsidRDefault="008075CB" w:rsidP="008075CB">
      <w:pPr>
        <w:autoSpaceDE w:val="0"/>
        <w:autoSpaceDN w:val="0"/>
        <w:adjustRightInd w:val="0"/>
        <w:ind w:right="-91"/>
        <w:jc w:val="both"/>
        <w:rPr>
          <w:rFonts w:ascii="Arial" w:hAnsi="Arial" w:cs="Arial"/>
          <w:b/>
          <w:sz w:val="18"/>
          <w:szCs w:val="18"/>
          <w:lang w:val="es-CR"/>
        </w:rPr>
      </w:pPr>
      <w:r w:rsidRPr="008075CB">
        <w:rPr>
          <w:rFonts w:ascii="Arial" w:hAnsi="Arial" w:cs="Arial"/>
          <w:b/>
          <w:sz w:val="18"/>
          <w:szCs w:val="18"/>
          <w:lang w:val="es-CR"/>
        </w:rPr>
        <w:t xml:space="preserve">PALABRAS CLAVE:   </w:t>
      </w:r>
      <w:r w:rsidRPr="008075CB">
        <w:rPr>
          <w:rFonts w:ascii="Arial" w:hAnsi="Arial" w:cs="Arial"/>
          <w:sz w:val="18"/>
          <w:szCs w:val="18"/>
          <w:lang w:val="es-CR"/>
        </w:rPr>
        <w:t xml:space="preserve">Proyecto– Ley- </w:t>
      </w:r>
      <w:proofErr w:type="gramStart"/>
      <w:r w:rsidRPr="008075CB">
        <w:rPr>
          <w:rFonts w:ascii="Arial" w:hAnsi="Arial" w:cs="Arial"/>
          <w:sz w:val="18"/>
          <w:szCs w:val="18"/>
          <w:lang w:val="es-CR"/>
        </w:rPr>
        <w:t>Expediente  20.916</w:t>
      </w:r>
      <w:proofErr w:type="gramEnd"/>
    </w:p>
    <w:p w:rsidR="008948E6" w:rsidRPr="008075CB" w:rsidRDefault="008948E6" w:rsidP="006B1B55">
      <w:pPr>
        <w:contextualSpacing/>
        <w:jc w:val="both"/>
        <w:rPr>
          <w:rFonts w:ascii="Arial" w:hAnsi="Arial" w:cs="Arial"/>
          <w:b/>
          <w:lang w:val="es-CR"/>
        </w:rPr>
      </w:pPr>
    </w:p>
    <w:p w:rsidR="008948E6" w:rsidRPr="00365CFF" w:rsidRDefault="008948E6"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60" w:rsidRDefault="00CE2260">
      <w:r>
        <w:separator/>
      </w:r>
    </w:p>
  </w:endnote>
  <w:endnote w:type="continuationSeparator" w:id="0">
    <w:p w:rsidR="00CE2260" w:rsidRDefault="00CE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60" w:rsidRDefault="00CE2260">
      <w:r>
        <w:separator/>
      </w:r>
    </w:p>
  </w:footnote>
  <w:footnote w:type="continuationSeparator" w:id="0">
    <w:p w:rsidR="00CE2260" w:rsidRDefault="00CE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00665">
      <w:rPr>
        <w:rFonts w:ascii="Arial" w:eastAsia="Cambria" w:hAnsi="Arial" w:cs="Arial"/>
        <w:i/>
        <w:sz w:val="18"/>
        <w:szCs w:val="18"/>
        <w:lang w:val="es-ES_tradnl" w:eastAsia="x-none"/>
      </w:rPr>
      <w:t>3</w:t>
    </w:r>
    <w:r w:rsidR="002B1FB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2B1FB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1FB6">
      <w:rPr>
        <w:rFonts w:ascii="Arial" w:eastAsia="Cambria" w:hAnsi="Arial" w:cs="Arial"/>
        <w:i/>
        <w:sz w:val="18"/>
        <w:szCs w:val="18"/>
        <w:lang w:val="es-ES_tradnl" w:eastAsia="x-none"/>
      </w:rPr>
      <w:t>17</w:t>
    </w:r>
    <w:r w:rsidR="00000665">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075CB">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8"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75553F"/>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15"/>
  </w:num>
  <w:num w:numId="6">
    <w:abstractNumId w:val="9"/>
  </w:num>
  <w:num w:numId="7">
    <w:abstractNumId w:val="2"/>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6"/>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2"/>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665"/>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1FB6"/>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2D0B"/>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09E1"/>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37DB"/>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29C9"/>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5CB"/>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948E6"/>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322"/>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2260"/>
    <w:rsid w:val="00CE5E1A"/>
    <w:rsid w:val="00CE64FE"/>
    <w:rsid w:val="00CE6A7A"/>
    <w:rsid w:val="00CE70E1"/>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3F0"/>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0E85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075C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000B-3D6F-4D65-9298-39A46E68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167</cp:revision>
  <cp:lastPrinted>2019-07-24T20:28:00Z</cp:lastPrinted>
  <dcterms:created xsi:type="dcterms:W3CDTF">2018-05-02T21:37:00Z</dcterms:created>
  <dcterms:modified xsi:type="dcterms:W3CDTF">2019-08-14T20:45:00Z</dcterms:modified>
</cp:coreProperties>
</file>