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B13E9A" w:rsidRDefault="00B13E9A" w:rsidP="000E4C68">
      <w:pPr>
        <w:tabs>
          <w:tab w:val="left" w:pos="7313"/>
        </w:tabs>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8B1127">
        <w:rPr>
          <w:rFonts w:ascii="Arial" w:hAnsi="Arial" w:cs="Arial"/>
          <w:b/>
          <w:bCs/>
          <w:iCs/>
          <w:sz w:val="26"/>
          <w:szCs w:val="22"/>
          <w:lang w:val="es-CR"/>
        </w:rPr>
        <w:t>1287</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Default="007742A1" w:rsidP="007742A1">
      <w:pPr>
        <w:rPr>
          <w:rFonts w:ascii="Cambria" w:eastAsia="Cambria" w:hAnsi="Cambria" w:cs="Arial"/>
          <w:bCs/>
          <w:iCs/>
          <w:sz w:val="16"/>
          <w:szCs w:val="16"/>
          <w:lang w:val="es-ES_tradnl" w:eastAsia="en-US"/>
        </w:rPr>
      </w:pPr>
    </w:p>
    <w:p w:rsidR="00B13E9A" w:rsidRPr="00D958BC" w:rsidRDefault="00B13E9A"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4E64EF" w:rsidP="007742A1">
            <w:pPr>
              <w:tabs>
                <w:tab w:val="right" w:pos="2100"/>
                <w:tab w:val="left" w:pos="2694"/>
              </w:tabs>
              <w:rPr>
                <w:rFonts w:ascii="Arial" w:eastAsia="SimSun" w:hAnsi="Arial" w:cs="Arial"/>
                <w:b/>
                <w:iCs/>
                <w:lang w:val="es-ES_tradnl" w:eastAsia="en-US"/>
              </w:rPr>
            </w:pPr>
            <w:r>
              <w:rPr>
                <w:rFonts w:ascii="Arial" w:eastAsia="SimSun" w:hAnsi="Arial" w:cs="Arial"/>
                <w:b/>
                <w:iCs/>
                <w:lang w:val="es-ES_tradnl" w:eastAsia="en-US"/>
              </w:rPr>
              <w:t>Pa</w:t>
            </w:r>
            <w:r w:rsidR="007742A1" w:rsidRPr="00D958BC">
              <w:rPr>
                <w:rFonts w:ascii="Arial" w:eastAsia="SimSun" w:hAnsi="Arial" w:cs="Arial"/>
                <w:b/>
                <w:iCs/>
                <w:lang w:val="es-ES_tradnl" w:eastAsia="en-US"/>
              </w:rPr>
              <w:t>ra:</w:t>
            </w:r>
          </w:p>
        </w:tc>
        <w:tc>
          <w:tcPr>
            <w:tcW w:w="7611" w:type="dxa"/>
          </w:tcPr>
          <w:p w:rsidR="00804BAF" w:rsidRPr="00804BAF" w:rsidRDefault="00476CE1" w:rsidP="00D92722">
            <w:pPr>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Ing. Luis Paulino Méndez Badilla</w:t>
            </w:r>
            <w:r w:rsidR="0090700F" w:rsidRPr="00771F15">
              <w:rPr>
                <w:rFonts w:ascii="Arial" w:eastAsia="Cambria" w:hAnsi="Arial" w:cs="Arial"/>
                <w:sz w:val="22"/>
                <w:szCs w:val="22"/>
                <w:lang w:val="es-ES_tradnl" w:eastAsia="en-US"/>
              </w:rPr>
              <w:t>, Rector</w:t>
            </w:r>
          </w:p>
          <w:p w:rsidR="00D75A49" w:rsidRPr="00256C13" w:rsidRDefault="00D75A49" w:rsidP="00C022F4">
            <w:pPr>
              <w:ind w:left="45"/>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64512E" w:rsidRPr="008E0D8C" w:rsidRDefault="0064512E" w:rsidP="0064512E">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M.A.E. Ana Damaris Quesada Murillo</w:t>
            </w:r>
            <w:r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 xml:space="preserve">Directora Ejecutiva </w:t>
            </w:r>
          </w:p>
          <w:p w:rsidR="007742A1" w:rsidRDefault="0064512E" w:rsidP="0064512E">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Pr="008E0D8C">
              <w:rPr>
                <w:rFonts w:ascii="Arial" w:eastAsia="Cambria" w:hAnsi="Arial" w:cs="Arial"/>
                <w:sz w:val="22"/>
                <w:szCs w:val="22"/>
                <w:lang w:val="es-ES_tradnl" w:eastAsia="en-US"/>
              </w:rPr>
              <w:t>Consejo Institucional</w:t>
            </w:r>
          </w:p>
          <w:p w:rsidR="00B13E9A" w:rsidRPr="008E0D8C" w:rsidRDefault="00B13E9A" w:rsidP="0064512E">
            <w:pPr>
              <w:ind w:left="45"/>
              <w:jc w:val="both"/>
              <w:rPr>
                <w:rFonts w:ascii="Arial" w:eastAsia="Cambria" w:hAnsi="Arial" w:cs="Arial"/>
                <w:sz w:val="22"/>
                <w:szCs w:val="22"/>
                <w:lang w:val="es-ES_tradnl" w:eastAsia="en-US"/>
              </w:rPr>
            </w:pP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tc>
        <w:tc>
          <w:tcPr>
            <w:tcW w:w="7611" w:type="dxa"/>
          </w:tcPr>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C7175" w:rsidRPr="003367DE" w:rsidRDefault="00FF209C" w:rsidP="003676BF">
            <w:pPr>
              <w:ind w:left="79" w:right="176"/>
              <w:jc w:val="both"/>
              <w:rPr>
                <w:rFonts w:ascii="Arial" w:eastAsia="Calibri" w:hAnsi="Arial" w:cs="Arial"/>
                <w:b/>
                <w:sz w:val="22"/>
                <w:szCs w:val="22"/>
                <w:lang w:val="es-ES_tradnl"/>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5D64E8">
              <w:rPr>
                <w:rFonts w:ascii="Arial" w:eastAsia="Calibri" w:hAnsi="Arial" w:cs="Arial"/>
                <w:b/>
                <w:sz w:val="22"/>
                <w:szCs w:val="22"/>
              </w:rPr>
              <w:t>4</w:t>
            </w:r>
            <w:r w:rsidR="003676BF">
              <w:rPr>
                <w:rFonts w:ascii="Arial" w:eastAsia="Calibri" w:hAnsi="Arial" w:cs="Arial"/>
                <w:b/>
                <w:sz w:val="22"/>
                <w:szCs w:val="22"/>
              </w:rPr>
              <w:t>8</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9C099B">
              <w:rPr>
                <w:rFonts w:ascii="Arial" w:eastAsia="Calibri" w:hAnsi="Arial" w:cs="Arial"/>
                <w:b/>
                <w:sz w:val="22"/>
                <w:szCs w:val="22"/>
              </w:rPr>
              <w:t>1</w:t>
            </w:r>
            <w:r w:rsidR="003676BF">
              <w:rPr>
                <w:rFonts w:ascii="Arial" w:eastAsia="Calibri" w:hAnsi="Arial" w:cs="Arial"/>
                <w:b/>
                <w:sz w:val="22"/>
                <w:szCs w:val="22"/>
              </w:rPr>
              <w:t>1</w:t>
            </w:r>
            <w:r w:rsidR="00477A87">
              <w:rPr>
                <w:rFonts w:ascii="Arial" w:eastAsia="Calibri" w:hAnsi="Arial" w:cs="Arial"/>
                <w:b/>
                <w:sz w:val="22"/>
                <w:szCs w:val="22"/>
              </w:rPr>
              <w:t>,</w:t>
            </w:r>
            <w:r w:rsidR="007742A1" w:rsidRPr="008F0835">
              <w:rPr>
                <w:rFonts w:ascii="Arial" w:eastAsia="Calibri" w:hAnsi="Arial" w:cs="Arial"/>
                <w:b/>
                <w:sz w:val="22"/>
                <w:szCs w:val="22"/>
              </w:rPr>
              <w:t xml:space="preserve"> del</w:t>
            </w:r>
            <w:r w:rsidR="004E64EF">
              <w:rPr>
                <w:rFonts w:ascii="Arial" w:eastAsia="Calibri" w:hAnsi="Arial" w:cs="Arial"/>
                <w:b/>
                <w:sz w:val="22"/>
                <w:szCs w:val="22"/>
              </w:rPr>
              <w:t xml:space="preserve"> </w:t>
            </w:r>
            <w:r w:rsidR="003676BF">
              <w:rPr>
                <w:rFonts w:ascii="Arial" w:eastAsia="Calibri" w:hAnsi="Arial" w:cs="Arial"/>
                <w:b/>
                <w:sz w:val="22"/>
                <w:szCs w:val="22"/>
              </w:rPr>
              <w:t>20</w:t>
            </w:r>
            <w:r w:rsidR="00792DCA">
              <w:rPr>
                <w:rFonts w:ascii="Arial" w:eastAsia="Calibri" w:hAnsi="Arial" w:cs="Arial"/>
                <w:b/>
                <w:sz w:val="22"/>
                <w:szCs w:val="22"/>
              </w:rPr>
              <w:t xml:space="preserve"> de noviembre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792DCA">
              <w:rPr>
                <w:rFonts w:ascii="Arial" w:eastAsia="Calibri" w:hAnsi="Arial" w:cs="Arial"/>
                <w:b/>
                <w:sz w:val="22"/>
                <w:szCs w:val="22"/>
              </w:rPr>
              <w:t xml:space="preserve"> </w:t>
            </w:r>
            <w:r w:rsidR="003676BF" w:rsidRPr="003676BF">
              <w:rPr>
                <w:rFonts w:ascii="Arial" w:hAnsi="Arial" w:cs="Arial"/>
                <w:b/>
                <w:bCs/>
                <w:sz w:val="22"/>
                <w:szCs w:val="22"/>
              </w:rPr>
              <w:t xml:space="preserve">Solicitud de revisión de la normativa para aplicar los “Lineamientos Generales para el Análisis de Presuntos Hechos Irregulares”, emitidos por la Contraloría General de la República, y publicados </w:t>
            </w:r>
            <w:r w:rsidR="003676BF" w:rsidRPr="003676BF">
              <w:rPr>
                <w:rFonts w:ascii="Arial" w:hAnsi="Arial" w:cs="Arial"/>
                <w:b/>
                <w:bCs/>
                <w:color w:val="000000"/>
                <w:sz w:val="22"/>
                <w:szCs w:val="22"/>
                <w:lang w:eastAsia="es-CR"/>
              </w:rPr>
              <w:t>en el Alcance 242 del Diario Oficial La Gaceta Núm. 209, del 4 de noviembre de 2019</w:t>
            </w:r>
          </w:p>
        </w:tc>
      </w:tr>
    </w:tbl>
    <w:p w:rsidR="009F4B13" w:rsidRDefault="009F4B13" w:rsidP="007742A1">
      <w:pPr>
        <w:jc w:val="both"/>
        <w:rPr>
          <w:rFonts w:ascii="Arial" w:eastAsia="Cambria" w:hAnsi="Arial" w:cs="Arial"/>
          <w:lang w:val="es-ES_tradnl" w:eastAsia="en-US"/>
        </w:rPr>
      </w:pPr>
    </w:p>
    <w:p w:rsidR="009F4B13" w:rsidRDefault="009F4B1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8B1127" w:rsidRDefault="008B1127" w:rsidP="008B1127">
      <w:pPr>
        <w:rPr>
          <w:rFonts w:ascii="Arial" w:eastAsia="Calibri" w:hAnsi="Arial" w:cs="Arial"/>
          <w:b/>
          <w:lang w:val="es-ES_tradnl"/>
        </w:rPr>
      </w:pPr>
    </w:p>
    <w:p w:rsidR="008B1127" w:rsidRPr="008B1127" w:rsidRDefault="008B1127" w:rsidP="008B1127">
      <w:pPr>
        <w:rPr>
          <w:rFonts w:ascii="Arial" w:eastAsia="Calibri" w:hAnsi="Arial" w:cs="Arial"/>
          <w:b/>
          <w:lang w:val="es-ES_tradnl"/>
        </w:rPr>
      </w:pPr>
      <w:r w:rsidRPr="008B1127">
        <w:rPr>
          <w:rFonts w:ascii="Arial" w:eastAsia="Calibri" w:hAnsi="Arial" w:cs="Arial"/>
          <w:b/>
          <w:lang w:val="es-ES_tradnl"/>
        </w:rPr>
        <w:t xml:space="preserve">RESULTANDO QUE: </w:t>
      </w:r>
    </w:p>
    <w:p w:rsidR="008B1127" w:rsidRPr="008B1127" w:rsidRDefault="008B1127" w:rsidP="008B1127">
      <w:pPr>
        <w:rPr>
          <w:rFonts w:ascii="Arial" w:eastAsia="Calibri" w:hAnsi="Arial" w:cs="Arial"/>
          <w:b/>
          <w:sz w:val="22"/>
          <w:szCs w:val="22"/>
          <w:lang w:val="es-ES_tradnl"/>
        </w:rPr>
      </w:pPr>
    </w:p>
    <w:p w:rsidR="008B1127" w:rsidRPr="008B1127" w:rsidRDefault="008B1127" w:rsidP="008B1127">
      <w:pPr>
        <w:numPr>
          <w:ilvl w:val="0"/>
          <w:numId w:val="23"/>
        </w:numPr>
        <w:tabs>
          <w:tab w:val="left" w:pos="426"/>
        </w:tabs>
        <w:ind w:left="426" w:right="-1" w:hanging="426"/>
        <w:contextualSpacing/>
        <w:jc w:val="both"/>
        <w:rPr>
          <w:rFonts w:ascii="Arial" w:eastAsia="Calibri" w:hAnsi="Arial" w:cs="Arial"/>
          <w:bCs/>
          <w:lang w:val="es-CR"/>
        </w:rPr>
      </w:pPr>
      <w:r w:rsidRPr="008B1127">
        <w:rPr>
          <w:rFonts w:ascii="Arial" w:eastAsia="Calibri" w:hAnsi="Arial" w:cs="Arial"/>
          <w:bCs/>
          <w:lang w:val="es-CR"/>
        </w:rPr>
        <w:t>El inciso f del Artículo 18, del Estatuto Orgánico del ITCR, establece:</w:t>
      </w:r>
    </w:p>
    <w:p w:rsidR="008B1127" w:rsidRPr="008B1127" w:rsidRDefault="008B1127" w:rsidP="008B1127">
      <w:pPr>
        <w:ind w:left="284" w:right="-1"/>
        <w:contextualSpacing/>
        <w:jc w:val="both"/>
        <w:rPr>
          <w:rFonts w:ascii="Arial" w:eastAsia="Calibri" w:hAnsi="Arial" w:cs="Arial"/>
          <w:bCs/>
          <w:lang w:val="es-CR"/>
        </w:rPr>
      </w:pPr>
    </w:p>
    <w:p w:rsidR="008B1127" w:rsidRPr="008B1127" w:rsidRDefault="008B1127" w:rsidP="008B1127">
      <w:pPr>
        <w:ind w:left="426" w:right="-1"/>
        <w:contextualSpacing/>
        <w:jc w:val="both"/>
        <w:rPr>
          <w:rFonts w:ascii="Arial" w:eastAsia="Calibri" w:hAnsi="Arial" w:cs="Arial"/>
          <w:bCs/>
          <w:i/>
          <w:sz w:val="22"/>
          <w:szCs w:val="22"/>
          <w:lang w:val="es-CR"/>
        </w:rPr>
      </w:pPr>
      <w:r w:rsidRPr="008B1127">
        <w:rPr>
          <w:rFonts w:ascii="Arial" w:eastAsia="Calibri" w:hAnsi="Arial" w:cs="Arial"/>
          <w:bCs/>
          <w:i/>
          <w:sz w:val="22"/>
          <w:szCs w:val="22"/>
          <w:lang w:val="es-CR"/>
        </w:rPr>
        <w:t>“Son funciones del Consejo Institucional:</w:t>
      </w:r>
    </w:p>
    <w:p w:rsidR="008B1127" w:rsidRPr="008B1127" w:rsidRDefault="008B1127" w:rsidP="008B1127">
      <w:pPr>
        <w:ind w:left="426" w:right="-1"/>
        <w:contextualSpacing/>
        <w:jc w:val="both"/>
        <w:rPr>
          <w:rFonts w:ascii="Arial" w:eastAsia="Calibri" w:hAnsi="Arial" w:cs="Arial"/>
          <w:bCs/>
          <w:i/>
          <w:sz w:val="22"/>
          <w:szCs w:val="22"/>
          <w:lang w:val="es-CR"/>
        </w:rPr>
      </w:pPr>
    </w:p>
    <w:p w:rsidR="008B1127" w:rsidRPr="008B1127" w:rsidRDefault="008B1127" w:rsidP="008B1127">
      <w:pPr>
        <w:ind w:left="709" w:hanging="142"/>
        <w:jc w:val="both"/>
        <w:rPr>
          <w:rFonts w:ascii="Arial" w:hAnsi="Arial" w:cs="Arial"/>
          <w:bCs/>
          <w:i/>
          <w:sz w:val="22"/>
          <w:szCs w:val="22"/>
          <w:lang w:val="es-CR"/>
        </w:rPr>
      </w:pPr>
      <w:r w:rsidRPr="008B1127">
        <w:rPr>
          <w:rFonts w:ascii="Arial" w:hAnsi="Arial" w:cs="Arial"/>
          <w:bCs/>
          <w:i/>
          <w:sz w:val="22"/>
          <w:szCs w:val="22"/>
          <w:lang w:val="es-CR"/>
        </w:rPr>
        <w:t>…</w:t>
      </w:r>
    </w:p>
    <w:p w:rsidR="008B1127" w:rsidRPr="008B1127" w:rsidRDefault="008B1127" w:rsidP="008B1127">
      <w:pPr>
        <w:ind w:left="709" w:hanging="142"/>
        <w:jc w:val="both"/>
        <w:rPr>
          <w:rFonts w:ascii="Arial" w:hAnsi="Arial" w:cs="Arial"/>
          <w:bCs/>
          <w:i/>
          <w:sz w:val="22"/>
          <w:szCs w:val="22"/>
          <w:lang w:val="es-CR"/>
        </w:rPr>
      </w:pPr>
    </w:p>
    <w:p w:rsidR="008B1127" w:rsidRPr="008B1127" w:rsidRDefault="008B1127" w:rsidP="008B1127">
      <w:pPr>
        <w:ind w:left="709" w:hanging="142"/>
        <w:jc w:val="both"/>
        <w:rPr>
          <w:rFonts w:ascii="Arial" w:hAnsi="Arial" w:cs="Arial"/>
          <w:i/>
          <w:sz w:val="22"/>
          <w:szCs w:val="22"/>
          <w:lang w:val="es-CR"/>
        </w:rPr>
      </w:pPr>
      <w:r w:rsidRPr="008B1127">
        <w:rPr>
          <w:rFonts w:ascii="Arial" w:hAnsi="Arial" w:cs="Arial"/>
          <w:bCs/>
          <w:i/>
          <w:sz w:val="22"/>
          <w:szCs w:val="22"/>
          <w:lang w:val="es-CR"/>
        </w:rPr>
        <w:t xml:space="preserve">f. </w:t>
      </w:r>
      <w:r w:rsidRPr="008B1127">
        <w:rPr>
          <w:rFonts w:ascii="Arial" w:hAnsi="Arial" w:cs="Arial"/>
          <w:i/>
          <w:sz w:val="22"/>
          <w:szCs w:val="22"/>
          <w:lang w:val="es-CR"/>
        </w:rPr>
        <w:t>Aprobar, promulgar y modificar los reglamentos generales necesarios para el funcionamiento del Instituto, así como los suyos propios, excepto aquellos que regulen el funcionamiento de la Asamblea Institucional Representativa y del Congreso Institucional.</w:t>
      </w:r>
    </w:p>
    <w:p w:rsidR="008B1127" w:rsidRPr="008B1127" w:rsidRDefault="008B1127" w:rsidP="008B1127">
      <w:pPr>
        <w:ind w:left="709" w:hanging="142"/>
        <w:jc w:val="both"/>
        <w:rPr>
          <w:rFonts w:ascii="Arial" w:hAnsi="Arial" w:cs="Arial"/>
          <w:i/>
          <w:sz w:val="22"/>
          <w:szCs w:val="22"/>
          <w:lang w:val="es-CR"/>
        </w:rPr>
      </w:pPr>
      <w:r w:rsidRPr="008B1127">
        <w:rPr>
          <w:rFonts w:ascii="Arial" w:hAnsi="Arial" w:cs="Arial"/>
          <w:i/>
          <w:sz w:val="22"/>
          <w:szCs w:val="22"/>
          <w:lang w:val="es-CR"/>
        </w:rPr>
        <w:t>…”</w:t>
      </w:r>
    </w:p>
    <w:p w:rsidR="008B1127" w:rsidRPr="008B1127" w:rsidRDefault="008B1127" w:rsidP="008B1127">
      <w:pPr>
        <w:ind w:left="709" w:hanging="142"/>
        <w:jc w:val="both"/>
        <w:rPr>
          <w:rFonts w:ascii="Arial" w:hAnsi="Arial" w:cs="Arial"/>
          <w:i/>
          <w:sz w:val="22"/>
          <w:szCs w:val="22"/>
          <w:lang w:val="es-CR"/>
        </w:rPr>
      </w:pPr>
    </w:p>
    <w:p w:rsidR="008B1127" w:rsidRPr="008B1127" w:rsidRDefault="008B1127" w:rsidP="008B1127">
      <w:pPr>
        <w:numPr>
          <w:ilvl w:val="0"/>
          <w:numId w:val="23"/>
        </w:numPr>
        <w:tabs>
          <w:tab w:val="left" w:pos="426"/>
        </w:tabs>
        <w:ind w:left="426" w:right="-1" w:hanging="426"/>
        <w:contextualSpacing/>
        <w:jc w:val="both"/>
        <w:rPr>
          <w:rFonts w:ascii="Arial" w:eastAsia="Calibri" w:hAnsi="Arial" w:cs="Arial"/>
          <w:lang w:val="es-CR"/>
        </w:rPr>
      </w:pPr>
      <w:r w:rsidRPr="008B1127">
        <w:rPr>
          <w:rFonts w:ascii="Arial" w:eastAsia="Calibri" w:hAnsi="Arial" w:cs="Arial"/>
          <w:lang w:val="es-CR"/>
        </w:rPr>
        <w:t>La Secretaría del Consejo Institucional recibió el oficio AUDI-229-2019, con fecha 5 de noviembre de 2019, suscrito por el Lic. Isidro Álvarez Salazar, Auditor Interno, dirigido al Ing. Luis Paulino Méndez Badilla, Presidente del Consejo Institucional, en el cual remite Resolución R-DC-102-2019 “Lineamientos Generales para el Análisis de Presuntos Hechos Irregulares”.</w:t>
      </w:r>
    </w:p>
    <w:p w:rsidR="008B1127" w:rsidRDefault="008B1127" w:rsidP="008B1127">
      <w:pPr>
        <w:rPr>
          <w:rFonts w:ascii="Arial" w:eastAsia="Calibri" w:hAnsi="Arial" w:cs="Arial"/>
          <w:b/>
          <w:sz w:val="22"/>
          <w:szCs w:val="22"/>
          <w:lang w:val="es-ES_tradnl"/>
        </w:rPr>
      </w:pPr>
    </w:p>
    <w:p w:rsidR="00B13E9A" w:rsidRPr="008B1127" w:rsidRDefault="00B13E9A" w:rsidP="008B1127">
      <w:pPr>
        <w:rPr>
          <w:rFonts w:ascii="Arial" w:eastAsia="Calibri" w:hAnsi="Arial" w:cs="Arial"/>
          <w:b/>
          <w:sz w:val="22"/>
          <w:szCs w:val="22"/>
          <w:lang w:val="es-ES_tradnl"/>
        </w:rPr>
      </w:pPr>
    </w:p>
    <w:p w:rsidR="008B1127" w:rsidRPr="008B1127" w:rsidRDefault="008B1127" w:rsidP="008B1127">
      <w:pPr>
        <w:ind w:left="-142"/>
        <w:jc w:val="both"/>
        <w:rPr>
          <w:rFonts w:ascii="Arial" w:hAnsi="Arial" w:cs="Arial"/>
          <w:b/>
          <w:lang w:val="es-CR"/>
        </w:rPr>
      </w:pPr>
      <w:r w:rsidRPr="008B1127">
        <w:rPr>
          <w:rFonts w:ascii="Arial" w:hAnsi="Arial" w:cs="Arial"/>
          <w:b/>
          <w:lang w:val="es-CR"/>
        </w:rPr>
        <w:t>CONSIDERANDO QUE:</w:t>
      </w:r>
    </w:p>
    <w:p w:rsidR="008B1127" w:rsidRPr="008B1127" w:rsidRDefault="008B1127" w:rsidP="008B1127">
      <w:pPr>
        <w:tabs>
          <w:tab w:val="left" w:pos="426"/>
        </w:tabs>
        <w:contextualSpacing/>
        <w:jc w:val="both"/>
        <w:rPr>
          <w:rFonts w:ascii="Arial" w:hAnsi="Arial" w:cs="Arial"/>
          <w:lang w:eastAsia="es-CR"/>
        </w:rPr>
      </w:pPr>
    </w:p>
    <w:p w:rsidR="008B1127" w:rsidRDefault="008B1127" w:rsidP="008B1127">
      <w:pPr>
        <w:numPr>
          <w:ilvl w:val="0"/>
          <w:numId w:val="22"/>
        </w:numPr>
        <w:tabs>
          <w:tab w:val="left" w:pos="426"/>
        </w:tabs>
        <w:autoSpaceDE w:val="0"/>
        <w:autoSpaceDN w:val="0"/>
        <w:adjustRightInd w:val="0"/>
        <w:ind w:left="426" w:hanging="426"/>
        <w:contextualSpacing/>
        <w:jc w:val="both"/>
        <w:rPr>
          <w:rFonts w:ascii="Arial" w:hAnsi="Arial" w:cs="Arial"/>
          <w:color w:val="000000"/>
          <w:lang w:val="es-CR" w:eastAsia="es-CR"/>
        </w:rPr>
      </w:pPr>
      <w:r w:rsidRPr="008B1127">
        <w:rPr>
          <w:rFonts w:ascii="Arial" w:hAnsi="Arial" w:cs="Arial"/>
          <w:lang w:val="es-CR"/>
        </w:rPr>
        <w:t>Mediante oficio AUDI-229-2019, suscrito por el Lic. Isidro Álvarez Salazar, Auditor Interno, dirigido al Ing. Luis Paulino Méndez Badilla, Presidente del Consejo Institucional, en el cual remite Resolución R-DC-102-2019 “Lineamientos Generales para el Análisis de Presuntos Hechos Irregulares”, se</w:t>
      </w:r>
      <w:r w:rsidRPr="008B1127">
        <w:rPr>
          <w:rFonts w:ascii="Arial" w:hAnsi="Arial" w:cs="Arial"/>
          <w:color w:val="000000"/>
          <w:lang w:val="es-CR" w:eastAsia="es-CR"/>
        </w:rPr>
        <w:t xml:space="preserve"> señala lo siguiente:</w:t>
      </w:r>
    </w:p>
    <w:p w:rsidR="00B13E9A" w:rsidRDefault="00B13E9A" w:rsidP="00B13E9A">
      <w:pPr>
        <w:tabs>
          <w:tab w:val="left" w:pos="426"/>
        </w:tabs>
        <w:autoSpaceDE w:val="0"/>
        <w:autoSpaceDN w:val="0"/>
        <w:adjustRightInd w:val="0"/>
        <w:contextualSpacing/>
        <w:jc w:val="both"/>
        <w:rPr>
          <w:rFonts w:ascii="Arial" w:hAnsi="Arial" w:cs="Arial"/>
          <w:color w:val="000000"/>
          <w:lang w:val="es-CR" w:eastAsia="es-CR"/>
        </w:rPr>
      </w:pPr>
    </w:p>
    <w:p w:rsidR="00B13E9A" w:rsidRDefault="00B13E9A" w:rsidP="00B13E9A">
      <w:pPr>
        <w:tabs>
          <w:tab w:val="left" w:pos="426"/>
        </w:tabs>
        <w:autoSpaceDE w:val="0"/>
        <w:autoSpaceDN w:val="0"/>
        <w:adjustRightInd w:val="0"/>
        <w:contextualSpacing/>
        <w:jc w:val="both"/>
        <w:rPr>
          <w:rFonts w:ascii="Arial" w:hAnsi="Arial" w:cs="Arial"/>
          <w:color w:val="000000"/>
          <w:lang w:val="es-CR" w:eastAsia="es-CR"/>
        </w:rPr>
      </w:pPr>
    </w:p>
    <w:p w:rsidR="00B13E9A" w:rsidRPr="008B1127" w:rsidRDefault="00B13E9A" w:rsidP="00B13E9A">
      <w:pPr>
        <w:tabs>
          <w:tab w:val="left" w:pos="426"/>
        </w:tabs>
        <w:autoSpaceDE w:val="0"/>
        <w:autoSpaceDN w:val="0"/>
        <w:adjustRightInd w:val="0"/>
        <w:contextualSpacing/>
        <w:jc w:val="both"/>
        <w:rPr>
          <w:rFonts w:ascii="Arial" w:hAnsi="Arial" w:cs="Arial"/>
          <w:color w:val="000000"/>
          <w:lang w:val="es-CR" w:eastAsia="es-CR"/>
        </w:rPr>
      </w:pPr>
    </w:p>
    <w:p w:rsidR="008B1127" w:rsidRPr="008B1127" w:rsidRDefault="008B1127" w:rsidP="008B1127">
      <w:pPr>
        <w:numPr>
          <w:ilvl w:val="1"/>
          <w:numId w:val="22"/>
        </w:numPr>
        <w:tabs>
          <w:tab w:val="left" w:pos="426"/>
        </w:tabs>
        <w:autoSpaceDE w:val="0"/>
        <w:autoSpaceDN w:val="0"/>
        <w:adjustRightInd w:val="0"/>
        <w:ind w:left="851"/>
        <w:contextualSpacing/>
        <w:jc w:val="both"/>
        <w:rPr>
          <w:rFonts w:ascii="Arial" w:hAnsi="Arial" w:cs="Arial"/>
          <w:i/>
          <w:iCs/>
          <w:color w:val="000000"/>
          <w:lang w:val="es-CR" w:eastAsia="es-CR"/>
        </w:rPr>
      </w:pPr>
      <w:r w:rsidRPr="008B1127">
        <w:rPr>
          <w:rFonts w:ascii="Arial" w:hAnsi="Arial" w:cs="Arial"/>
          <w:i/>
          <w:iCs/>
          <w:color w:val="000000"/>
          <w:lang w:val="es-CR" w:eastAsia="es-CR"/>
        </w:rPr>
        <w:t>Los “Lineamientos Generales para el Análisis de Presuntos Hechos Irregulares” derogan las “Directrices sobre la comunicación de   Relaciones de Hechos y Denuncias Penales por la Auditoría Interna del Sector Público”.</w:t>
      </w:r>
    </w:p>
    <w:p w:rsidR="008B1127" w:rsidRPr="008B1127" w:rsidRDefault="008B1127" w:rsidP="008B1127">
      <w:pPr>
        <w:tabs>
          <w:tab w:val="left" w:pos="426"/>
        </w:tabs>
        <w:autoSpaceDE w:val="0"/>
        <w:autoSpaceDN w:val="0"/>
        <w:adjustRightInd w:val="0"/>
        <w:ind w:left="851"/>
        <w:contextualSpacing/>
        <w:jc w:val="both"/>
        <w:rPr>
          <w:rFonts w:ascii="Arial" w:hAnsi="Arial" w:cs="Arial"/>
          <w:i/>
          <w:color w:val="000000"/>
          <w:lang w:val="es-CR" w:eastAsia="es-CR"/>
        </w:rPr>
      </w:pPr>
    </w:p>
    <w:p w:rsidR="008B1127" w:rsidRPr="008B1127" w:rsidRDefault="008B1127" w:rsidP="008B1127">
      <w:pPr>
        <w:numPr>
          <w:ilvl w:val="1"/>
          <w:numId w:val="22"/>
        </w:numPr>
        <w:tabs>
          <w:tab w:val="left" w:pos="426"/>
        </w:tabs>
        <w:autoSpaceDE w:val="0"/>
        <w:autoSpaceDN w:val="0"/>
        <w:adjustRightInd w:val="0"/>
        <w:ind w:left="851"/>
        <w:contextualSpacing/>
        <w:jc w:val="both"/>
        <w:rPr>
          <w:rFonts w:ascii="Arial" w:hAnsi="Arial" w:cs="Arial"/>
          <w:i/>
          <w:color w:val="000000"/>
          <w:lang w:val="es-CR" w:eastAsia="es-CR"/>
        </w:rPr>
      </w:pPr>
      <w:r w:rsidRPr="008B1127">
        <w:rPr>
          <w:rFonts w:ascii="Arial" w:hAnsi="Arial" w:cs="Arial"/>
          <w:i/>
          <w:color w:val="000000"/>
          <w:lang w:val="es-CR" w:eastAsia="es-CR"/>
        </w:rPr>
        <w:t>Se establecen las relaciones de coordinación que deben atenderse entre la Auditoría Interna y la administración activa para cumplir con las demandas de los ciudadanos.</w:t>
      </w:r>
    </w:p>
    <w:p w:rsidR="008B1127" w:rsidRPr="008B1127" w:rsidRDefault="008B1127" w:rsidP="008B1127">
      <w:pPr>
        <w:autoSpaceDE w:val="0"/>
        <w:autoSpaceDN w:val="0"/>
        <w:adjustRightInd w:val="0"/>
        <w:jc w:val="both"/>
        <w:rPr>
          <w:rFonts w:ascii="Arial" w:hAnsi="Arial" w:cs="Arial"/>
          <w:i/>
          <w:color w:val="000000"/>
          <w:lang w:val="es-CR" w:eastAsia="es-CR"/>
        </w:rPr>
      </w:pPr>
    </w:p>
    <w:p w:rsidR="008B1127" w:rsidRPr="008B1127" w:rsidRDefault="008B1127" w:rsidP="008B1127">
      <w:pPr>
        <w:numPr>
          <w:ilvl w:val="1"/>
          <w:numId w:val="22"/>
        </w:numPr>
        <w:tabs>
          <w:tab w:val="left" w:pos="426"/>
        </w:tabs>
        <w:autoSpaceDE w:val="0"/>
        <w:autoSpaceDN w:val="0"/>
        <w:adjustRightInd w:val="0"/>
        <w:ind w:left="851"/>
        <w:contextualSpacing/>
        <w:jc w:val="both"/>
        <w:rPr>
          <w:rFonts w:ascii="Arial" w:hAnsi="Arial" w:cs="Arial"/>
          <w:i/>
          <w:color w:val="000000"/>
          <w:lang w:val="es-CR" w:eastAsia="es-CR"/>
        </w:rPr>
      </w:pPr>
      <w:r w:rsidRPr="008B1127">
        <w:rPr>
          <w:rFonts w:ascii="Arial" w:hAnsi="Arial" w:cs="Arial"/>
          <w:i/>
          <w:color w:val="000000"/>
          <w:lang w:val="es-CR" w:eastAsia="es-CR"/>
        </w:rPr>
        <w:t>Los citados lineamientos son de acatamiento obligatorio para las auditorías internas del sector público.</w:t>
      </w:r>
    </w:p>
    <w:p w:rsidR="008B1127" w:rsidRPr="008B1127" w:rsidRDefault="008B1127" w:rsidP="008B1127">
      <w:pPr>
        <w:autoSpaceDE w:val="0"/>
        <w:autoSpaceDN w:val="0"/>
        <w:adjustRightInd w:val="0"/>
        <w:ind w:left="851"/>
        <w:jc w:val="both"/>
        <w:rPr>
          <w:rFonts w:ascii="Arial" w:hAnsi="Arial" w:cs="Arial"/>
          <w:i/>
          <w:color w:val="000000"/>
          <w:lang w:val="es-CR" w:eastAsia="es-CR"/>
        </w:rPr>
      </w:pPr>
    </w:p>
    <w:p w:rsidR="008B1127" w:rsidRPr="008B1127" w:rsidRDefault="008B1127" w:rsidP="008B1127">
      <w:pPr>
        <w:numPr>
          <w:ilvl w:val="1"/>
          <w:numId w:val="22"/>
        </w:numPr>
        <w:tabs>
          <w:tab w:val="left" w:pos="426"/>
        </w:tabs>
        <w:autoSpaceDE w:val="0"/>
        <w:autoSpaceDN w:val="0"/>
        <w:adjustRightInd w:val="0"/>
        <w:ind w:left="851"/>
        <w:contextualSpacing/>
        <w:jc w:val="both"/>
        <w:rPr>
          <w:rFonts w:ascii="Arial" w:hAnsi="Arial" w:cs="Arial"/>
          <w:i/>
          <w:color w:val="000000"/>
          <w:lang w:val="es-CR" w:eastAsia="es-CR"/>
        </w:rPr>
      </w:pPr>
      <w:r w:rsidRPr="008B1127">
        <w:rPr>
          <w:rFonts w:ascii="Arial" w:hAnsi="Arial" w:cs="Arial"/>
          <w:i/>
          <w:color w:val="000000"/>
          <w:lang w:val="es-CR" w:eastAsia="es-CR"/>
        </w:rPr>
        <w:t xml:space="preserve">Debe revisarse si se requieren ajustes en la normativa y prácticas internas, a fin de incorporarlas en su gestión. </w:t>
      </w:r>
    </w:p>
    <w:p w:rsidR="008B1127" w:rsidRPr="008B1127" w:rsidRDefault="008B1127" w:rsidP="008B1127">
      <w:pPr>
        <w:tabs>
          <w:tab w:val="left" w:pos="426"/>
        </w:tabs>
        <w:contextualSpacing/>
        <w:jc w:val="both"/>
        <w:rPr>
          <w:rFonts w:ascii="Arial" w:hAnsi="Arial" w:cs="Arial"/>
          <w:lang w:val="es-CR" w:eastAsia="es-CR"/>
        </w:rPr>
      </w:pPr>
    </w:p>
    <w:p w:rsidR="008B1127" w:rsidRPr="008B1127" w:rsidRDefault="008B1127" w:rsidP="008B1127">
      <w:pPr>
        <w:numPr>
          <w:ilvl w:val="0"/>
          <w:numId w:val="22"/>
        </w:numPr>
        <w:tabs>
          <w:tab w:val="left" w:pos="426"/>
        </w:tabs>
        <w:ind w:left="426" w:hanging="426"/>
        <w:contextualSpacing/>
        <w:jc w:val="both"/>
        <w:rPr>
          <w:rFonts w:ascii="Arial" w:hAnsi="Arial" w:cs="Arial"/>
          <w:lang w:val="es-CR"/>
        </w:rPr>
      </w:pPr>
      <w:r w:rsidRPr="008B1127">
        <w:rPr>
          <w:rFonts w:ascii="Arial" w:hAnsi="Arial" w:cs="Arial"/>
          <w:lang w:val="es-CR"/>
        </w:rPr>
        <w:t xml:space="preserve">La Comisión de Planificación y Administración en reunión No. 847-2019, del 14 de noviembre de 2019, analiza el documento remitido por la  Auditoría Interna y de acuerdo con el análisis, </w:t>
      </w:r>
      <w:r w:rsidRPr="008B1127">
        <w:rPr>
          <w:rFonts w:ascii="Arial" w:hAnsi="Arial" w:cs="Arial"/>
        </w:rPr>
        <w:t xml:space="preserve"> se considera pertinente solicitar a la Rectoría que proceda con la revisión de la normativa, de manera que se identifiquen los ajustes, si corresponden, y en caso de que se amerite alguna modificación en la reglamentación interna, se trasladen las propuestas al Consejo Institucional, para proceder con los cambios que permitan su adecuada aplicación.</w:t>
      </w:r>
    </w:p>
    <w:p w:rsidR="00B13E9A" w:rsidRPr="008B1127" w:rsidRDefault="00B13E9A" w:rsidP="008B1127">
      <w:pPr>
        <w:tabs>
          <w:tab w:val="left" w:pos="426"/>
        </w:tabs>
        <w:contextualSpacing/>
        <w:jc w:val="both"/>
        <w:rPr>
          <w:rFonts w:ascii="Arial" w:hAnsi="Arial" w:cs="Arial"/>
          <w:lang w:val="es-CR"/>
        </w:rPr>
      </w:pPr>
    </w:p>
    <w:p w:rsidR="008B1127" w:rsidRPr="008B1127" w:rsidRDefault="008B1127" w:rsidP="008B1127">
      <w:pPr>
        <w:jc w:val="both"/>
        <w:rPr>
          <w:rFonts w:ascii="Arial" w:hAnsi="Arial" w:cs="Arial"/>
          <w:b/>
          <w:lang w:val="es-CR"/>
        </w:rPr>
      </w:pPr>
      <w:r w:rsidRPr="008B1127">
        <w:rPr>
          <w:rFonts w:ascii="Arial" w:hAnsi="Arial" w:cs="Arial"/>
          <w:b/>
          <w:lang w:val="es-CR"/>
        </w:rPr>
        <w:t>SE</w:t>
      </w:r>
      <w:r>
        <w:rPr>
          <w:rFonts w:ascii="Arial" w:hAnsi="Arial" w:cs="Arial"/>
          <w:b/>
          <w:lang w:val="es-CR"/>
        </w:rPr>
        <w:t xml:space="preserve"> ACUERDA</w:t>
      </w:r>
      <w:r w:rsidRPr="008B1127">
        <w:rPr>
          <w:rFonts w:ascii="Arial" w:hAnsi="Arial" w:cs="Arial"/>
          <w:b/>
          <w:lang w:val="es-CR"/>
        </w:rPr>
        <w:t>:</w:t>
      </w:r>
    </w:p>
    <w:p w:rsidR="008B1127" w:rsidRPr="008B1127" w:rsidRDefault="008B1127" w:rsidP="008B1127">
      <w:pPr>
        <w:tabs>
          <w:tab w:val="left" w:pos="426"/>
        </w:tabs>
        <w:contextualSpacing/>
        <w:jc w:val="both"/>
        <w:rPr>
          <w:rFonts w:ascii="Arial" w:hAnsi="Arial" w:cs="Arial"/>
          <w:sz w:val="16"/>
          <w:szCs w:val="16"/>
          <w:lang w:val="es-CR"/>
        </w:rPr>
      </w:pPr>
    </w:p>
    <w:p w:rsidR="008B1127" w:rsidRPr="008B1127" w:rsidRDefault="008B1127" w:rsidP="008B1127">
      <w:pPr>
        <w:numPr>
          <w:ilvl w:val="0"/>
          <w:numId w:val="24"/>
        </w:numPr>
        <w:ind w:left="426" w:hanging="426"/>
        <w:jc w:val="both"/>
        <w:rPr>
          <w:rFonts w:ascii="Arial" w:hAnsi="Arial" w:cs="Arial"/>
          <w:sz w:val="20"/>
          <w:szCs w:val="20"/>
        </w:rPr>
      </w:pPr>
      <w:r w:rsidRPr="008B1127">
        <w:rPr>
          <w:rFonts w:ascii="Arial" w:hAnsi="Arial" w:cs="Arial"/>
          <w:lang w:val="es-CR"/>
        </w:rPr>
        <w:t xml:space="preserve">Trasladar a la Rectoría la Resolución R-DC-102-2019 “Lineamientos Generales para el Análisis de Presuntos Hechos Irregulares”, emitida por la Contraloría General de la República, y publicada </w:t>
      </w:r>
      <w:r w:rsidRPr="008B1127">
        <w:rPr>
          <w:rFonts w:ascii="Arial" w:hAnsi="Arial" w:cs="Arial"/>
          <w:color w:val="000000"/>
          <w:lang w:val="es-CR" w:eastAsia="es-CR"/>
        </w:rPr>
        <w:t xml:space="preserve">en el Alcance 242 del Diario Oficial La Gaceta Núm. 209, del 4 de noviembre de 2019, para que </w:t>
      </w:r>
      <w:r w:rsidRPr="008B1127">
        <w:rPr>
          <w:rFonts w:ascii="Arial" w:hAnsi="Arial" w:cs="Arial"/>
        </w:rPr>
        <w:t>proceda con la revisión de la normativa, y en caso de requerir ajustes en la normativa interna, remitir las recomendaciones que correspondan, antes del 28 de febrero de 2020</w:t>
      </w:r>
      <w:r w:rsidRPr="008B1127">
        <w:rPr>
          <w:rFonts w:ascii="Arial" w:hAnsi="Arial" w:cs="Arial"/>
          <w:sz w:val="20"/>
          <w:szCs w:val="20"/>
        </w:rPr>
        <w:t>.</w:t>
      </w:r>
    </w:p>
    <w:p w:rsidR="008B1127" w:rsidRPr="008B1127" w:rsidRDefault="008B1127" w:rsidP="008B1127">
      <w:pPr>
        <w:tabs>
          <w:tab w:val="left" w:pos="426"/>
        </w:tabs>
        <w:contextualSpacing/>
        <w:jc w:val="both"/>
        <w:rPr>
          <w:rFonts w:ascii="Arial" w:hAnsi="Arial" w:cs="Arial"/>
          <w:sz w:val="16"/>
          <w:szCs w:val="16"/>
          <w:lang w:val="es-CR"/>
        </w:rPr>
      </w:pPr>
    </w:p>
    <w:p w:rsidR="008B1127" w:rsidRPr="008B1127" w:rsidRDefault="008B1127" w:rsidP="008B1127">
      <w:pPr>
        <w:numPr>
          <w:ilvl w:val="0"/>
          <w:numId w:val="24"/>
        </w:numPr>
        <w:ind w:left="426" w:hanging="426"/>
        <w:jc w:val="both"/>
        <w:rPr>
          <w:lang w:eastAsia="es-CR"/>
        </w:rPr>
      </w:pPr>
      <w:r w:rsidRPr="008B1127">
        <w:rPr>
          <w:rFonts w:ascii="Arial" w:hAnsi="Arial" w:cs="Arial"/>
          <w:lang w:val="es-CR"/>
        </w:rPr>
        <w:t>Indicar</w:t>
      </w:r>
      <w:r w:rsidRPr="008B1127">
        <w:rPr>
          <w:rFonts w:ascii="Arial" w:hAnsi="Arial" w:cs="Arial"/>
          <w:lang w:eastAsia="es-CR"/>
        </w:rPr>
        <w:t xml:space="preserve"> que, contra este acuerdo podrá interponerse recurso de revocatoria ante este Consejo o de apelación ante la Asamblea Institucional Representativa, o los extraordinarios de aclaración o adición, en el plazo máximo de cinco días hábiles, posteriores a la notificación del acuerdo. Por así haberlo establecido la Asamblea Institucional Representativa, es potestativo del recurrente interponer ambos recursos o uno solo de ellos, sin que puedan las autoridades </w:t>
      </w:r>
      <w:r w:rsidRPr="008B1127">
        <w:rPr>
          <w:rFonts w:ascii="Arial" w:hAnsi="Arial" w:cs="Arial"/>
          <w:lang w:val="es-CR" w:eastAsia="es-CR"/>
        </w:rPr>
        <w:t>recurridas desestimar o rechazar un recurso, porque el recurrente no haya interpuesto el recurso previo.</w:t>
      </w:r>
      <w:r w:rsidRPr="008B1127">
        <w:rPr>
          <w:rFonts w:ascii="Arial" w:hAnsi="Arial" w:cs="Arial"/>
          <w:lang w:eastAsia="es-CR"/>
        </w:rPr>
        <w:t> </w:t>
      </w:r>
    </w:p>
    <w:p w:rsidR="00FC6B5E" w:rsidRDefault="00FC6B5E" w:rsidP="007742A1">
      <w:pPr>
        <w:jc w:val="both"/>
        <w:rPr>
          <w:rFonts w:ascii="Arial" w:eastAsia="Cambria" w:hAnsi="Arial" w:cs="Arial"/>
          <w:lang w:val="es-ES_tradnl" w:eastAsia="en-US"/>
        </w:rPr>
      </w:pPr>
    </w:p>
    <w:p w:rsidR="008841D4" w:rsidRPr="008B1127" w:rsidRDefault="000E564F" w:rsidP="008B1127">
      <w:pPr>
        <w:numPr>
          <w:ilvl w:val="0"/>
          <w:numId w:val="24"/>
        </w:numPr>
        <w:ind w:left="426" w:hanging="426"/>
        <w:jc w:val="both"/>
        <w:rPr>
          <w:rFonts w:ascii="Arial" w:hAnsi="Arial" w:cs="Arial"/>
        </w:rPr>
      </w:pPr>
      <w:r w:rsidRPr="000E564F">
        <w:rPr>
          <w:rFonts w:ascii="Arial" w:hAnsi="Arial" w:cs="Arial"/>
          <w:lang w:val="es-CR"/>
        </w:rPr>
        <w:t>Comunicar.</w:t>
      </w:r>
      <w:r>
        <w:rPr>
          <w:rFonts w:ascii="Arial" w:hAnsi="Arial" w:cs="Arial"/>
          <w:b/>
          <w:lang w:val="es-CR"/>
        </w:rPr>
        <w:t xml:space="preserve">  </w:t>
      </w:r>
      <w:r w:rsidR="00917157" w:rsidRPr="000E564F">
        <w:rPr>
          <w:rFonts w:ascii="Arial" w:hAnsi="Arial" w:cs="Arial"/>
          <w:b/>
          <w:lang w:val="es-CR"/>
        </w:rPr>
        <w:t>ACUERDO FIRME.</w:t>
      </w:r>
    </w:p>
    <w:p w:rsidR="008B1127" w:rsidRPr="00964EAF" w:rsidRDefault="008B1127" w:rsidP="008B1127">
      <w:pPr>
        <w:jc w:val="both"/>
        <w:rPr>
          <w:rFonts w:ascii="Arial" w:hAnsi="Arial" w:cs="Arial"/>
        </w:rPr>
      </w:pPr>
    </w:p>
    <w:bookmarkStart w:id="0" w:name="_MON_1635760921"/>
    <w:bookmarkEnd w:id="0"/>
    <w:p w:rsidR="00964EAF" w:rsidRDefault="008B1127" w:rsidP="00964EAF">
      <w:pPr>
        <w:pStyle w:val="Prrafodelista"/>
        <w:rPr>
          <w:rFonts w:ascii="Arial" w:hAnsi="Arial" w:cs="Arial"/>
        </w:rPr>
      </w:pPr>
      <w:r w:rsidRPr="008B1127">
        <w:rPr>
          <w:rFonts w:ascii="Arial" w:hAnsi="Arial" w:cs="Arial"/>
          <w:b/>
          <w:sz w:val="18"/>
          <w:szCs w:val="18"/>
        </w:rPr>
        <w:object w:dxaOrig="1539"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pt;height:49.45pt" o:ole="">
            <v:imagedata r:id="rId8" o:title=""/>
          </v:shape>
          <o:OLEObject Type="Embed" ProgID="Word.Document.8" ShapeID="_x0000_i1025" DrawAspect="Icon" ObjectID="_1635767624" r:id="rId9">
            <o:FieldCodes>\s</o:FieldCodes>
          </o:OLEObject>
        </w:object>
      </w:r>
    </w:p>
    <w:p w:rsidR="00964EAF" w:rsidRDefault="00964EAF" w:rsidP="00964EAF">
      <w:pPr>
        <w:contextualSpacing/>
        <w:jc w:val="both"/>
        <w:rPr>
          <w:rFonts w:ascii="Arial" w:hAnsi="Arial" w:cs="Arial"/>
        </w:rPr>
      </w:pPr>
    </w:p>
    <w:p w:rsidR="00B12317" w:rsidRPr="002B0374" w:rsidRDefault="008B1127" w:rsidP="00B13E9A">
      <w:pPr>
        <w:jc w:val="both"/>
        <w:rPr>
          <w:rFonts w:ascii="Arial" w:hAnsi="Arial" w:cs="Arial"/>
          <w:b/>
          <w:lang w:val="es-ES_tradnl"/>
        </w:rPr>
      </w:pPr>
      <w:r w:rsidRPr="008B1127">
        <w:rPr>
          <w:rFonts w:ascii="Arial" w:hAnsi="Arial" w:cs="Arial"/>
          <w:b/>
          <w:sz w:val="18"/>
          <w:szCs w:val="18"/>
        </w:rPr>
        <w:t>Palabras Clave: Traslado -  Rectoría - Resolución - R-DC-102-2019 - Lineamientos – Presuntos - Hechos Irregulares -  Gaceta Núm. 209</w:t>
      </w: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4E64EF">
        <w:trPr>
          <w:trHeight w:val="183"/>
        </w:trPr>
        <w:tc>
          <w:tcPr>
            <w:tcW w:w="4361" w:type="dxa"/>
          </w:tcPr>
          <w:p w:rsidR="00F4695B" w:rsidRPr="00474B22" w:rsidRDefault="00F4695B" w:rsidP="004E64EF">
            <w:pPr>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tcPr>
          <w:p w:rsidR="00CE7F7E" w:rsidRPr="00474B22" w:rsidRDefault="00CE7F7E" w:rsidP="008D187C">
            <w:pPr>
              <w:jc w:val="both"/>
              <w:rPr>
                <w:rFonts w:ascii="Arial" w:eastAsia="Cambria" w:hAnsi="Arial" w:cs="Arial"/>
                <w:b/>
                <w:sz w:val="16"/>
                <w:szCs w:val="16"/>
                <w:lang w:val="es-ES_tradnl" w:eastAsia="en-US"/>
              </w:rPr>
            </w:pPr>
          </w:p>
        </w:tc>
      </w:tr>
    </w:tbl>
    <w:p w:rsidR="000077CC" w:rsidRDefault="00EB0F82" w:rsidP="001E3F3C">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ED72F3" w:rsidRPr="00B13E9A" w:rsidRDefault="00F41044" w:rsidP="00B13E9A">
      <w:pPr>
        <w:contextualSpacing/>
        <w:jc w:val="both"/>
        <w:rPr>
          <w:rFonts w:ascii="Arial" w:eastAsia="Cambria" w:hAnsi="Arial" w:cs="Arial"/>
          <w:sz w:val="18"/>
          <w:szCs w:val="18"/>
          <w:lang w:val="es-CR" w:eastAsia="en-US"/>
        </w:rPr>
      </w:pPr>
      <w:bookmarkStart w:id="1" w:name="_GoBack"/>
      <w:proofErr w:type="spellStart"/>
      <w:r w:rsidRPr="00B13E9A">
        <w:rPr>
          <w:rFonts w:ascii="Arial" w:hAnsi="Arial" w:cs="Arial"/>
          <w:sz w:val="18"/>
          <w:szCs w:val="18"/>
        </w:rPr>
        <w:t>ars</w:t>
      </w:r>
      <w:bookmarkEnd w:id="1"/>
      <w:proofErr w:type="spellEnd"/>
      <w:r w:rsidR="00885F0A" w:rsidRPr="00B13E9A">
        <w:rPr>
          <w:rFonts w:ascii="Arial" w:hAnsi="Arial" w:cs="Arial"/>
          <w:sz w:val="18"/>
          <w:szCs w:val="18"/>
          <w:lang w:val="es-CR"/>
        </w:rPr>
        <w:t xml:space="preserve"> </w:t>
      </w:r>
    </w:p>
    <w:sectPr w:rsidR="00ED72F3" w:rsidRPr="00B13E9A" w:rsidSect="00CE0215">
      <w:headerReference w:type="default" r:id="rId10"/>
      <w:footerReference w:type="default" r:id="rId11"/>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683" w:rsidRDefault="00BA2683">
      <w:r>
        <w:separator/>
      </w:r>
    </w:p>
  </w:endnote>
  <w:endnote w:type="continuationSeparator" w:id="0">
    <w:p w:rsidR="00BA2683" w:rsidRDefault="00BA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683" w:rsidRDefault="00BA2683">
      <w:r>
        <w:separator/>
      </w:r>
    </w:p>
  </w:footnote>
  <w:footnote w:type="continuationSeparator" w:id="0">
    <w:p w:rsidR="00BA2683" w:rsidRDefault="00BA2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792DCA"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9C099B">
      <w:rPr>
        <w:rFonts w:ascii="Arial" w:eastAsia="Cambria" w:hAnsi="Arial" w:cs="Arial"/>
        <w:i/>
        <w:sz w:val="18"/>
        <w:szCs w:val="18"/>
        <w:lang w:val="es-ES_tradnl" w:eastAsia="x-none"/>
      </w:rPr>
      <w:t>4</w:t>
    </w:r>
    <w:r w:rsidR="003676BF">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sidR="009C099B">
      <w:rPr>
        <w:rFonts w:ascii="Arial" w:eastAsia="Cambria" w:hAnsi="Arial" w:cs="Arial"/>
        <w:i/>
        <w:sz w:val="18"/>
        <w:szCs w:val="18"/>
        <w:lang w:val="es-ES_tradnl" w:eastAsia="x-none"/>
      </w:rPr>
      <w:t>1</w:t>
    </w:r>
    <w:r w:rsidR="003676BF">
      <w:rPr>
        <w:rFonts w:ascii="Arial" w:eastAsia="Cambria" w:hAnsi="Arial" w:cs="Arial"/>
        <w:i/>
        <w:sz w:val="18"/>
        <w:szCs w:val="18"/>
        <w:lang w:val="es-ES_tradnl" w:eastAsia="x-none"/>
      </w:rPr>
      <w:t>1</w:t>
    </w:r>
    <w:r w:rsidR="00476CE1">
      <w:rPr>
        <w:rFonts w:ascii="Arial" w:eastAsia="Cambria" w:hAnsi="Arial" w:cs="Arial"/>
        <w:i/>
        <w:sz w:val="18"/>
        <w:szCs w:val="18"/>
        <w:lang w:val="es-ES_tradnl" w:eastAsia="x-none"/>
      </w:rPr>
      <w:t>,</w:t>
    </w:r>
    <w:r w:rsidR="002F6AF8">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 xml:space="preserve">del </w:t>
    </w:r>
    <w:r w:rsidR="003676BF">
      <w:rPr>
        <w:rFonts w:ascii="Arial" w:eastAsia="Cambria" w:hAnsi="Arial" w:cs="Arial"/>
        <w:i/>
        <w:sz w:val="18"/>
        <w:szCs w:val="18"/>
        <w:lang w:val="es-ES_tradnl" w:eastAsia="x-none"/>
      </w:rPr>
      <w:t>20</w:t>
    </w:r>
    <w:r w:rsidR="00792DCA">
      <w:rPr>
        <w:rFonts w:ascii="Arial" w:eastAsia="Cambria" w:hAnsi="Arial" w:cs="Arial"/>
        <w:i/>
        <w:sz w:val="18"/>
        <w:szCs w:val="18"/>
        <w:lang w:val="es-ES_tradnl" w:eastAsia="x-none"/>
      </w:rPr>
      <w:t xml:space="preserve"> de noviembre de 2019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B13E9A">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F300B4"/>
    <w:multiLevelType w:val="hybridMultilevel"/>
    <w:tmpl w:val="C42C7C6E"/>
    <w:lvl w:ilvl="0" w:tplc="58D689C6">
      <w:start w:val="1"/>
      <w:numFmt w:val="lowerLetter"/>
      <w:lvlText w:val="%1."/>
      <w:lvlJc w:val="left"/>
      <w:pPr>
        <w:ind w:left="644" w:hanging="360"/>
      </w:pPr>
      <w:rPr>
        <w:rFonts w:hint="default"/>
        <w:b/>
        <w:sz w:val="24"/>
        <w:szCs w:val="24"/>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3" w15:restartNumberingAfterBreak="0">
    <w:nsid w:val="0DDB4C14"/>
    <w:multiLevelType w:val="hybridMultilevel"/>
    <w:tmpl w:val="7DEE8AB0"/>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DB1422B"/>
    <w:multiLevelType w:val="hybridMultilevel"/>
    <w:tmpl w:val="BFC0D01E"/>
    <w:lvl w:ilvl="0" w:tplc="9D08D08E">
      <w:start w:val="1"/>
      <w:numFmt w:val="decimal"/>
      <w:lvlText w:val="%1."/>
      <w:lvlJc w:val="left"/>
      <w:pPr>
        <w:ind w:left="502" w:hanging="360"/>
      </w:pPr>
      <w:rPr>
        <w:rFonts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FC05246"/>
    <w:multiLevelType w:val="hybridMultilevel"/>
    <w:tmpl w:val="F96A152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6" w15:restartNumberingAfterBreak="0">
    <w:nsid w:val="25BD0380"/>
    <w:multiLevelType w:val="multilevel"/>
    <w:tmpl w:val="C49C1FEE"/>
    <w:lvl w:ilvl="0">
      <w:start w:val="1"/>
      <w:numFmt w:val="decimal"/>
      <w:lvlText w:val="%1."/>
      <w:lvlJc w:val="left"/>
      <w:pPr>
        <w:ind w:left="720" w:hanging="360"/>
      </w:pPr>
      <w:rPr>
        <w:rFonts w:ascii="Arial" w:eastAsia="Arial" w:hAnsi="Arial" w:cs="Arial"/>
        <w:b/>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F72151"/>
    <w:multiLevelType w:val="hybridMultilevel"/>
    <w:tmpl w:val="4B0EA552"/>
    <w:lvl w:ilvl="0" w:tplc="C47A1C6E">
      <w:start w:val="1"/>
      <w:numFmt w:val="lowerLetter"/>
      <w:lvlText w:val="%1."/>
      <w:lvlJc w:val="left"/>
      <w:pPr>
        <w:ind w:left="720"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8D4023A"/>
    <w:multiLevelType w:val="multilevel"/>
    <w:tmpl w:val="2050287A"/>
    <w:lvl w:ilvl="0">
      <w:start w:val="1"/>
      <w:numFmt w:val="decimal"/>
      <w:lvlText w:val="%1."/>
      <w:lvlJc w:val="left"/>
      <w:pPr>
        <w:ind w:left="360" w:hanging="360"/>
      </w:pPr>
      <w:rPr>
        <w:rFonts w:ascii="Arial" w:eastAsia="Cambria" w:hAnsi="Arial" w:cs="Times New Roman"/>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66580E"/>
    <w:multiLevelType w:val="hybridMultilevel"/>
    <w:tmpl w:val="CB840756"/>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0" w15:restartNumberingAfterBreak="0">
    <w:nsid w:val="31541943"/>
    <w:multiLevelType w:val="multilevel"/>
    <w:tmpl w:val="857A3204"/>
    <w:lvl w:ilvl="0">
      <w:start w:val="1"/>
      <w:numFmt w:val="lowerLetter"/>
      <w:lvlText w:val="%1."/>
      <w:lvlJc w:val="left"/>
      <w:pPr>
        <w:ind w:left="720" w:hanging="360"/>
      </w:pPr>
      <w:rPr>
        <w:b/>
        <w:i w:val="0"/>
        <w:strike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5318B1"/>
    <w:multiLevelType w:val="multilevel"/>
    <w:tmpl w:val="91A879FA"/>
    <w:lvl w:ilvl="0">
      <w:start w:val="1"/>
      <w:numFmt w:val="decimal"/>
      <w:lvlText w:val="%1."/>
      <w:lvlJc w:val="left"/>
      <w:pPr>
        <w:ind w:left="720" w:hanging="360"/>
      </w:pPr>
      <w:rPr>
        <w:rFonts w:ascii="Arial" w:hAnsi="Arial" w:cs="Arial" w:hint="default"/>
        <w:b/>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9C3371F"/>
    <w:multiLevelType w:val="hybridMultilevel"/>
    <w:tmpl w:val="807236DA"/>
    <w:lvl w:ilvl="0" w:tplc="140A0001">
      <w:start w:val="1"/>
      <w:numFmt w:val="bullet"/>
      <w:lvlText w:val=""/>
      <w:lvlJc w:val="left"/>
      <w:pPr>
        <w:ind w:left="1084" w:hanging="360"/>
      </w:pPr>
      <w:rPr>
        <w:rFonts w:ascii="Symbol" w:hAnsi="Symbol" w:hint="default"/>
      </w:rPr>
    </w:lvl>
    <w:lvl w:ilvl="1" w:tplc="140A0003" w:tentative="1">
      <w:start w:val="1"/>
      <w:numFmt w:val="bullet"/>
      <w:lvlText w:val="o"/>
      <w:lvlJc w:val="left"/>
      <w:pPr>
        <w:ind w:left="1804" w:hanging="360"/>
      </w:pPr>
      <w:rPr>
        <w:rFonts w:ascii="Courier New" w:hAnsi="Courier New" w:cs="Courier New" w:hint="default"/>
      </w:rPr>
    </w:lvl>
    <w:lvl w:ilvl="2" w:tplc="140A0005" w:tentative="1">
      <w:start w:val="1"/>
      <w:numFmt w:val="bullet"/>
      <w:lvlText w:val=""/>
      <w:lvlJc w:val="left"/>
      <w:pPr>
        <w:ind w:left="2524" w:hanging="360"/>
      </w:pPr>
      <w:rPr>
        <w:rFonts w:ascii="Wingdings" w:hAnsi="Wingdings" w:hint="default"/>
      </w:rPr>
    </w:lvl>
    <w:lvl w:ilvl="3" w:tplc="140A0001" w:tentative="1">
      <w:start w:val="1"/>
      <w:numFmt w:val="bullet"/>
      <w:lvlText w:val=""/>
      <w:lvlJc w:val="left"/>
      <w:pPr>
        <w:ind w:left="3244" w:hanging="360"/>
      </w:pPr>
      <w:rPr>
        <w:rFonts w:ascii="Symbol" w:hAnsi="Symbol" w:hint="default"/>
      </w:rPr>
    </w:lvl>
    <w:lvl w:ilvl="4" w:tplc="140A0003" w:tentative="1">
      <w:start w:val="1"/>
      <w:numFmt w:val="bullet"/>
      <w:lvlText w:val="o"/>
      <w:lvlJc w:val="left"/>
      <w:pPr>
        <w:ind w:left="3964" w:hanging="360"/>
      </w:pPr>
      <w:rPr>
        <w:rFonts w:ascii="Courier New" w:hAnsi="Courier New" w:cs="Courier New" w:hint="default"/>
      </w:rPr>
    </w:lvl>
    <w:lvl w:ilvl="5" w:tplc="140A0005" w:tentative="1">
      <w:start w:val="1"/>
      <w:numFmt w:val="bullet"/>
      <w:lvlText w:val=""/>
      <w:lvlJc w:val="left"/>
      <w:pPr>
        <w:ind w:left="4684" w:hanging="360"/>
      </w:pPr>
      <w:rPr>
        <w:rFonts w:ascii="Wingdings" w:hAnsi="Wingdings" w:hint="default"/>
      </w:rPr>
    </w:lvl>
    <w:lvl w:ilvl="6" w:tplc="140A0001" w:tentative="1">
      <w:start w:val="1"/>
      <w:numFmt w:val="bullet"/>
      <w:lvlText w:val=""/>
      <w:lvlJc w:val="left"/>
      <w:pPr>
        <w:ind w:left="5404" w:hanging="360"/>
      </w:pPr>
      <w:rPr>
        <w:rFonts w:ascii="Symbol" w:hAnsi="Symbol" w:hint="default"/>
      </w:rPr>
    </w:lvl>
    <w:lvl w:ilvl="7" w:tplc="140A0003" w:tentative="1">
      <w:start w:val="1"/>
      <w:numFmt w:val="bullet"/>
      <w:lvlText w:val="o"/>
      <w:lvlJc w:val="left"/>
      <w:pPr>
        <w:ind w:left="6124" w:hanging="360"/>
      </w:pPr>
      <w:rPr>
        <w:rFonts w:ascii="Courier New" w:hAnsi="Courier New" w:cs="Courier New" w:hint="default"/>
      </w:rPr>
    </w:lvl>
    <w:lvl w:ilvl="8" w:tplc="140A0005" w:tentative="1">
      <w:start w:val="1"/>
      <w:numFmt w:val="bullet"/>
      <w:lvlText w:val=""/>
      <w:lvlJc w:val="left"/>
      <w:pPr>
        <w:ind w:left="6844" w:hanging="360"/>
      </w:pPr>
      <w:rPr>
        <w:rFonts w:ascii="Wingdings" w:hAnsi="Wingdings" w:hint="default"/>
      </w:rPr>
    </w:lvl>
  </w:abstractNum>
  <w:abstractNum w:abstractNumId="14" w15:restartNumberingAfterBreak="0">
    <w:nsid w:val="3CFB22D3"/>
    <w:multiLevelType w:val="hybridMultilevel"/>
    <w:tmpl w:val="609A8E4C"/>
    <w:lvl w:ilvl="0" w:tplc="140A0019">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5" w15:restartNumberingAfterBreak="0">
    <w:nsid w:val="415B14ED"/>
    <w:multiLevelType w:val="hybridMultilevel"/>
    <w:tmpl w:val="93B291A4"/>
    <w:lvl w:ilvl="0" w:tplc="4ABA2008">
      <w:start w:val="1"/>
      <w:numFmt w:val="decimal"/>
      <w:lvlText w:val="%1."/>
      <w:lvlJc w:val="left"/>
      <w:pPr>
        <w:tabs>
          <w:tab w:val="num" w:pos="720"/>
        </w:tabs>
        <w:ind w:left="720" w:hanging="360"/>
      </w:pPr>
      <w:rPr>
        <w:rFonts w:ascii="Arial" w:hAnsi="Arial" w:cs="Arial" w:hint="default"/>
        <w:b/>
        <w:i w:val="0"/>
        <w:color w:val="auto"/>
        <w:sz w:val="24"/>
        <w:szCs w:val="24"/>
      </w:rPr>
    </w:lvl>
    <w:lvl w:ilvl="1" w:tplc="D62E1A0C">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A7F3439"/>
    <w:multiLevelType w:val="multilevel"/>
    <w:tmpl w:val="91A879FA"/>
    <w:lvl w:ilvl="0">
      <w:start w:val="1"/>
      <w:numFmt w:val="decimal"/>
      <w:lvlText w:val="%1."/>
      <w:lvlJc w:val="left"/>
      <w:pPr>
        <w:ind w:left="360" w:hanging="360"/>
      </w:pPr>
      <w:rPr>
        <w:rFonts w:ascii="Arial" w:hAnsi="Arial" w:cs="Arial" w:hint="default"/>
        <w:b/>
        <w:i w:val="0"/>
        <w:color w:val="0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4E75FE5"/>
    <w:multiLevelType w:val="hybridMultilevel"/>
    <w:tmpl w:val="1FF45AC8"/>
    <w:lvl w:ilvl="0" w:tplc="216A34FA">
      <w:start w:val="1"/>
      <w:numFmt w:val="lowerLetter"/>
      <w:lvlText w:val="%1."/>
      <w:lvlJc w:val="left"/>
      <w:pPr>
        <w:ind w:left="720" w:hanging="360"/>
      </w:pPr>
      <w:rPr>
        <w:b/>
        <w:i w:val="0"/>
        <w:strike w:val="0"/>
        <w:dstrike w:val="0"/>
        <w:sz w:val="24"/>
        <w:szCs w:val="24"/>
        <w:u w:val="none"/>
        <w:effect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8"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5E31167"/>
    <w:multiLevelType w:val="hybridMultilevel"/>
    <w:tmpl w:val="97226E48"/>
    <w:lvl w:ilvl="0" w:tplc="3F18E7F2">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9786C3A"/>
    <w:multiLevelType w:val="hybridMultilevel"/>
    <w:tmpl w:val="36D28732"/>
    <w:lvl w:ilvl="0" w:tplc="00507CA4">
      <w:start w:val="1"/>
      <w:numFmt w:val="lowerLetter"/>
      <w:lvlText w:val="%1."/>
      <w:lvlJc w:val="left"/>
      <w:pPr>
        <w:tabs>
          <w:tab w:val="num" w:pos="400"/>
        </w:tabs>
        <w:ind w:left="400" w:hanging="360"/>
      </w:pPr>
      <w:rPr>
        <w:rFonts w:ascii="Arial" w:hAnsi="Arial"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21" w15:restartNumberingAfterBreak="0">
    <w:nsid w:val="6B7F3EE7"/>
    <w:multiLevelType w:val="hybridMultilevel"/>
    <w:tmpl w:val="B30C7E4E"/>
    <w:lvl w:ilvl="0" w:tplc="140A0001">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2"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E6B570F"/>
    <w:multiLevelType w:val="hybridMultilevel"/>
    <w:tmpl w:val="BBE4A414"/>
    <w:lvl w:ilvl="0" w:tplc="2F1821E2">
      <w:start w:val="1"/>
      <w:numFmt w:val="decimal"/>
      <w:lvlText w:val="%1."/>
      <w:lvlJc w:val="left"/>
      <w:pPr>
        <w:ind w:left="360" w:hanging="360"/>
      </w:pPr>
      <w:rPr>
        <w:rFonts w:ascii="Arial" w:hAnsi="Arial" w:cs="Arial" w:hint="default"/>
        <w:b/>
        <w:i w:val="0"/>
        <w:sz w:val="24"/>
        <w:szCs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num>
  <w:num w:numId="3">
    <w:abstractNumId w:val="20"/>
  </w:num>
  <w:num w:numId="4">
    <w:abstractNumId w:val="11"/>
  </w:num>
  <w:num w:numId="5">
    <w:abstractNumId w:val="16"/>
  </w:num>
  <w:num w:numId="6">
    <w:abstractNumId w:val="13"/>
  </w:num>
  <w:num w:numId="7">
    <w:abstractNumId w:val="5"/>
  </w:num>
  <w:num w:numId="8">
    <w:abstractNumId w:val="22"/>
  </w:num>
  <w:num w:numId="9">
    <w:abstractNumId w:val="12"/>
  </w:num>
  <w:num w:numId="10">
    <w:abstractNumId w:val="18"/>
  </w:num>
  <w:num w:numId="11">
    <w:abstractNumId w:val="2"/>
  </w:num>
  <w:num w:numId="12">
    <w:abstractNumId w:val="23"/>
  </w:num>
  <w:num w:numId="13">
    <w:abstractNumId w:val="8"/>
  </w:num>
  <w:num w:numId="14">
    <w:abstractNumId w:val="10"/>
  </w:num>
  <w:num w:numId="15">
    <w:abstractNumId w:val="6"/>
  </w:num>
  <w:num w:numId="16">
    <w:abstractNumId w:val="9"/>
  </w:num>
  <w:num w:numId="17">
    <w:abstractNumId w:val="1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1"/>
  </w:num>
  <w:num w:numId="21">
    <w:abstractNumId w:val="14"/>
  </w:num>
  <w:num w:numId="22">
    <w:abstractNumId w:val="3"/>
  </w:num>
  <w:num w:numId="23">
    <w:abstractNumId w:val="4"/>
  </w:num>
  <w:num w:numId="2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25F60"/>
    <w:rsid w:val="00026533"/>
    <w:rsid w:val="00026F1A"/>
    <w:rsid w:val="00033918"/>
    <w:rsid w:val="00034CE3"/>
    <w:rsid w:val="000359F5"/>
    <w:rsid w:val="0003651A"/>
    <w:rsid w:val="00036DAC"/>
    <w:rsid w:val="000372D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9D9"/>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6E7F"/>
    <w:rsid w:val="00087607"/>
    <w:rsid w:val="00087623"/>
    <w:rsid w:val="000903CE"/>
    <w:rsid w:val="00090FDF"/>
    <w:rsid w:val="00091B7B"/>
    <w:rsid w:val="0009329E"/>
    <w:rsid w:val="000934FF"/>
    <w:rsid w:val="000936AB"/>
    <w:rsid w:val="00093971"/>
    <w:rsid w:val="00094138"/>
    <w:rsid w:val="000955C3"/>
    <w:rsid w:val="000A0756"/>
    <w:rsid w:val="000A0FF7"/>
    <w:rsid w:val="000A19B8"/>
    <w:rsid w:val="000A5D85"/>
    <w:rsid w:val="000A5F69"/>
    <w:rsid w:val="000A6BE8"/>
    <w:rsid w:val="000A787F"/>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A8B"/>
    <w:rsid w:val="000C7F00"/>
    <w:rsid w:val="000D1A31"/>
    <w:rsid w:val="000D220C"/>
    <w:rsid w:val="000D2AD1"/>
    <w:rsid w:val="000D34C2"/>
    <w:rsid w:val="000D5ACC"/>
    <w:rsid w:val="000D5C6B"/>
    <w:rsid w:val="000D6061"/>
    <w:rsid w:val="000D62F0"/>
    <w:rsid w:val="000D7162"/>
    <w:rsid w:val="000E1F4D"/>
    <w:rsid w:val="000E2A22"/>
    <w:rsid w:val="000E39E4"/>
    <w:rsid w:val="000E420E"/>
    <w:rsid w:val="000E4C68"/>
    <w:rsid w:val="000E4FED"/>
    <w:rsid w:val="000E564F"/>
    <w:rsid w:val="000E5B14"/>
    <w:rsid w:val="000E6DC9"/>
    <w:rsid w:val="000F106C"/>
    <w:rsid w:val="000F1E1D"/>
    <w:rsid w:val="000F2A0F"/>
    <w:rsid w:val="000F4343"/>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38F4"/>
    <w:rsid w:val="00115853"/>
    <w:rsid w:val="00117C68"/>
    <w:rsid w:val="00121308"/>
    <w:rsid w:val="001237E1"/>
    <w:rsid w:val="001240CC"/>
    <w:rsid w:val="001248CE"/>
    <w:rsid w:val="001256AA"/>
    <w:rsid w:val="001263D3"/>
    <w:rsid w:val="001272AF"/>
    <w:rsid w:val="001304BF"/>
    <w:rsid w:val="0013093C"/>
    <w:rsid w:val="001319DF"/>
    <w:rsid w:val="00132C08"/>
    <w:rsid w:val="00133DC3"/>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3956"/>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A0A20"/>
    <w:rsid w:val="001A0D41"/>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3C66"/>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2D8"/>
    <w:rsid w:val="002279E5"/>
    <w:rsid w:val="00227D3E"/>
    <w:rsid w:val="00230EB0"/>
    <w:rsid w:val="00233B57"/>
    <w:rsid w:val="00234BB0"/>
    <w:rsid w:val="00235258"/>
    <w:rsid w:val="0024107D"/>
    <w:rsid w:val="00241503"/>
    <w:rsid w:val="00242D06"/>
    <w:rsid w:val="00242F8A"/>
    <w:rsid w:val="00245783"/>
    <w:rsid w:val="002460D1"/>
    <w:rsid w:val="002462C8"/>
    <w:rsid w:val="00246D38"/>
    <w:rsid w:val="00247443"/>
    <w:rsid w:val="002477F3"/>
    <w:rsid w:val="00250B47"/>
    <w:rsid w:val="002535D4"/>
    <w:rsid w:val="00253D5C"/>
    <w:rsid w:val="002543F5"/>
    <w:rsid w:val="00255202"/>
    <w:rsid w:val="002569E9"/>
    <w:rsid w:val="00256C13"/>
    <w:rsid w:val="00260F3E"/>
    <w:rsid w:val="00261D4A"/>
    <w:rsid w:val="00263233"/>
    <w:rsid w:val="002633A5"/>
    <w:rsid w:val="00263D21"/>
    <w:rsid w:val="002643B6"/>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2EA3"/>
    <w:rsid w:val="00283360"/>
    <w:rsid w:val="00283375"/>
    <w:rsid w:val="00284956"/>
    <w:rsid w:val="00286461"/>
    <w:rsid w:val="0029068F"/>
    <w:rsid w:val="00293111"/>
    <w:rsid w:val="00293149"/>
    <w:rsid w:val="00293595"/>
    <w:rsid w:val="0029396B"/>
    <w:rsid w:val="00294D1D"/>
    <w:rsid w:val="002978E4"/>
    <w:rsid w:val="002A148D"/>
    <w:rsid w:val="002A285B"/>
    <w:rsid w:val="002A2A51"/>
    <w:rsid w:val="002A39D6"/>
    <w:rsid w:val="002A5135"/>
    <w:rsid w:val="002A51A3"/>
    <w:rsid w:val="002A57B5"/>
    <w:rsid w:val="002A7751"/>
    <w:rsid w:val="002B0374"/>
    <w:rsid w:val="002B159C"/>
    <w:rsid w:val="002B2032"/>
    <w:rsid w:val="002B2346"/>
    <w:rsid w:val="002B3224"/>
    <w:rsid w:val="002B4AA8"/>
    <w:rsid w:val="002C0D34"/>
    <w:rsid w:val="002C163E"/>
    <w:rsid w:val="002C19F4"/>
    <w:rsid w:val="002C228F"/>
    <w:rsid w:val="002C2B58"/>
    <w:rsid w:val="002C468D"/>
    <w:rsid w:val="002C4D2C"/>
    <w:rsid w:val="002C5EB4"/>
    <w:rsid w:val="002C6BE2"/>
    <w:rsid w:val="002D170E"/>
    <w:rsid w:val="002D2A79"/>
    <w:rsid w:val="002D2C7C"/>
    <w:rsid w:val="002D2DF2"/>
    <w:rsid w:val="002D6978"/>
    <w:rsid w:val="002D76DD"/>
    <w:rsid w:val="002D7A95"/>
    <w:rsid w:val="002E03BF"/>
    <w:rsid w:val="002E1507"/>
    <w:rsid w:val="002E2751"/>
    <w:rsid w:val="002E49F2"/>
    <w:rsid w:val="002E5A2A"/>
    <w:rsid w:val="002F03FC"/>
    <w:rsid w:val="002F05FD"/>
    <w:rsid w:val="002F1374"/>
    <w:rsid w:val="002F23A9"/>
    <w:rsid w:val="002F6367"/>
    <w:rsid w:val="002F6AF8"/>
    <w:rsid w:val="00300778"/>
    <w:rsid w:val="003011A3"/>
    <w:rsid w:val="0030153B"/>
    <w:rsid w:val="00301B0B"/>
    <w:rsid w:val="00302A99"/>
    <w:rsid w:val="003042E7"/>
    <w:rsid w:val="003047F1"/>
    <w:rsid w:val="0030486D"/>
    <w:rsid w:val="00305BC2"/>
    <w:rsid w:val="00310865"/>
    <w:rsid w:val="003162A0"/>
    <w:rsid w:val="00316937"/>
    <w:rsid w:val="00316C74"/>
    <w:rsid w:val="00316F7C"/>
    <w:rsid w:val="00317D3B"/>
    <w:rsid w:val="0032099D"/>
    <w:rsid w:val="003222DB"/>
    <w:rsid w:val="00322446"/>
    <w:rsid w:val="00322B8A"/>
    <w:rsid w:val="00323397"/>
    <w:rsid w:val="00323590"/>
    <w:rsid w:val="00324AB0"/>
    <w:rsid w:val="00325DEA"/>
    <w:rsid w:val="00325E1C"/>
    <w:rsid w:val="003262C5"/>
    <w:rsid w:val="003309B6"/>
    <w:rsid w:val="00332808"/>
    <w:rsid w:val="00333402"/>
    <w:rsid w:val="00334300"/>
    <w:rsid w:val="00334A92"/>
    <w:rsid w:val="00335BDE"/>
    <w:rsid w:val="003367DE"/>
    <w:rsid w:val="003369A5"/>
    <w:rsid w:val="00336F05"/>
    <w:rsid w:val="00337408"/>
    <w:rsid w:val="00337455"/>
    <w:rsid w:val="0034046D"/>
    <w:rsid w:val="00340863"/>
    <w:rsid w:val="0034405E"/>
    <w:rsid w:val="00344103"/>
    <w:rsid w:val="00345207"/>
    <w:rsid w:val="003471E0"/>
    <w:rsid w:val="0035043F"/>
    <w:rsid w:val="00350681"/>
    <w:rsid w:val="003506A7"/>
    <w:rsid w:val="00350E0D"/>
    <w:rsid w:val="003518BD"/>
    <w:rsid w:val="00352E01"/>
    <w:rsid w:val="003533EB"/>
    <w:rsid w:val="003538E7"/>
    <w:rsid w:val="0035725E"/>
    <w:rsid w:val="00365CFF"/>
    <w:rsid w:val="00365D1B"/>
    <w:rsid w:val="0036607E"/>
    <w:rsid w:val="00366F0E"/>
    <w:rsid w:val="003676BF"/>
    <w:rsid w:val="00370216"/>
    <w:rsid w:val="00371DC1"/>
    <w:rsid w:val="003756F2"/>
    <w:rsid w:val="00380871"/>
    <w:rsid w:val="00381397"/>
    <w:rsid w:val="0038212F"/>
    <w:rsid w:val="00382EA8"/>
    <w:rsid w:val="00385402"/>
    <w:rsid w:val="003859C1"/>
    <w:rsid w:val="00385D90"/>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6E54"/>
    <w:rsid w:val="003B70AD"/>
    <w:rsid w:val="003C0783"/>
    <w:rsid w:val="003C19D5"/>
    <w:rsid w:val="003C1FAB"/>
    <w:rsid w:val="003C2706"/>
    <w:rsid w:val="003C3290"/>
    <w:rsid w:val="003C360C"/>
    <w:rsid w:val="003C388C"/>
    <w:rsid w:val="003C46A0"/>
    <w:rsid w:val="003C5113"/>
    <w:rsid w:val="003C5571"/>
    <w:rsid w:val="003C5FFE"/>
    <w:rsid w:val="003C6ED7"/>
    <w:rsid w:val="003D2633"/>
    <w:rsid w:val="003D3F8A"/>
    <w:rsid w:val="003D5AAA"/>
    <w:rsid w:val="003D7515"/>
    <w:rsid w:val="003E02A1"/>
    <w:rsid w:val="003E0C89"/>
    <w:rsid w:val="003E2233"/>
    <w:rsid w:val="003E23AD"/>
    <w:rsid w:val="003E26B1"/>
    <w:rsid w:val="003E2804"/>
    <w:rsid w:val="003E369B"/>
    <w:rsid w:val="003E5181"/>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5E98"/>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184"/>
    <w:rsid w:val="00474B22"/>
    <w:rsid w:val="00475D28"/>
    <w:rsid w:val="00476035"/>
    <w:rsid w:val="00476861"/>
    <w:rsid w:val="00476CE1"/>
    <w:rsid w:val="00477A87"/>
    <w:rsid w:val="00480A91"/>
    <w:rsid w:val="0048135B"/>
    <w:rsid w:val="00481E38"/>
    <w:rsid w:val="004823B5"/>
    <w:rsid w:val="00482A59"/>
    <w:rsid w:val="0048389C"/>
    <w:rsid w:val="00487338"/>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2DD2"/>
    <w:rsid w:val="004B3C97"/>
    <w:rsid w:val="004B43AF"/>
    <w:rsid w:val="004B4763"/>
    <w:rsid w:val="004B5364"/>
    <w:rsid w:val="004B66FD"/>
    <w:rsid w:val="004B6F51"/>
    <w:rsid w:val="004C22EE"/>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D7710"/>
    <w:rsid w:val="004E1FC9"/>
    <w:rsid w:val="004E23CB"/>
    <w:rsid w:val="004E3D7B"/>
    <w:rsid w:val="004E6438"/>
    <w:rsid w:val="004E64EF"/>
    <w:rsid w:val="004E65FB"/>
    <w:rsid w:val="004E6E23"/>
    <w:rsid w:val="004E7D9D"/>
    <w:rsid w:val="004E7FFC"/>
    <w:rsid w:val="004F2645"/>
    <w:rsid w:val="004F319C"/>
    <w:rsid w:val="004F36F9"/>
    <w:rsid w:val="004F6BA9"/>
    <w:rsid w:val="004F7EB0"/>
    <w:rsid w:val="00501E14"/>
    <w:rsid w:val="00502116"/>
    <w:rsid w:val="00503263"/>
    <w:rsid w:val="005032E7"/>
    <w:rsid w:val="005047A3"/>
    <w:rsid w:val="00504D5D"/>
    <w:rsid w:val="005052C7"/>
    <w:rsid w:val="00506EDE"/>
    <w:rsid w:val="00510C22"/>
    <w:rsid w:val="00511246"/>
    <w:rsid w:val="005121D8"/>
    <w:rsid w:val="005156CF"/>
    <w:rsid w:val="00515CEC"/>
    <w:rsid w:val="005222BE"/>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52F"/>
    <w:rsid w:val="00535BFB"/>
    <w:rsid w:val="00537CCA"/>
    <w:rsid w:val="00540263"/>
    <w:rsid w:val="005405AE"/>
    <w:rsid w:val="00540BF7"/>
    <w:rsid w:val="005428FF"/>
    <w:rsid w:val="00542FD2"/>
    <w:rsid w:val="005439E9"/>
    <w:rsid w:val="00543D7B"/>
    <w:rsid w:val="005447D0"/>
    <w:rsid w:val="00546B67"/>
    <w:rsid w:val="00554E8E"/>
    <w:rsid w:val="005578CB"/>
    <w:rsid w:val="005579A5"/>
    <w:rsid w:val="00561BD6"/>
    <w:rsid w:val="00561FD4"/>
    <w:rsid w:val="005628FD"/>
    <w:rsid w:val="00563417"/>
    <w:rsid w:val="00563E83"/>
    <w:rsid w:val="005653A1"/>
    <w:rsid w:val="0056674D"/>
    <w:rsid w:val="00570916"/>
    <w:rsid w:val="00571183"/>
    <w:rsid w:val="005718A6"/>
    <w:rsid w:val="00574E3C"/>
    <w:rsid w:val="005766E0"/>
    <w:rsid w:val="00577426"/>
    <w:rsid w:val="0058110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4757"/>
    <w:rsid w:val="005B6F1F"/>
    <w:rsid w:val="005C0755"/>
    <w:rsid w:val="005C2C87"/>
    <w:rsid w:val="005C5121"/>
    <w:rsid w:val="005C52A3"/>
    <w:rsid w:val="005C56A6"/>
    <w:rsid w:val="005D234B"/>
    <w:rsid w:val="005D242A"/>
    <w:rsid w:val="005D64E8"/>
    <w:rsid w:val="005E0359"/>
    <w:rsid w:val="005E06F0"/>
    <w:rsid w:val="005E10A2"/>
    <w:rsid w:val="005E1B2D"/>
    <w:rsid w:val="005E4831"/>
    <w:rsid w:val="005E6C51"/>
    <w:rsid w:val="005E6F3F"/>
    <w:rsid w:val="005E779D"/>
    <w:rsid w:val="005F3429"/>
    <w:rsid w:val="005F3B68"/>
    <w:rsid w:val="005F3D1A"/>
    <w:rsid w:val="005F4079"/>
    <w:rsid w:val="005F40F5"/>
    <w:rsid w:val="005F510D"/>
    <w:rsid w:val="005F6B28"/>
    <w:rsid w:val="005F79E5"/>
    <w:rsid w:val="005F7BC7"/>
    <w:rsid w:val="00603C4D"/>
    <w:rsid w:val="00604520"/>
    <w:rsid w:val="006059E6"/>
    <w:rsid w:val="0060685F"/>
    <w:rsid w:val="00607B7C"/>
    <w:rsid w:val="00607ECD"/>
    <w:rsid w:val="00610697"/>
    <w:rsid w:val="0061239A"/>
    <w:rsid w:val="00612C0F"/>
    <w:rsid w:val="006133E5"/>
    <w:rsid w:val="00620D40"/>
    <w:rsid w:val="00621218"/>
    <w:rsid w:val="0062298E"/>
    <w:rsid w:val="00623598"/>
    <w:rsid w:val="00623979"/>
    <w:rsid w:val="00623BA9"/>
    <w:rsid w:val="0062557C"/>
    <w:rsid w:val="00625AB2"/>
    <w:rsid w:val="00631B4A"/>
    <w:rsid w:val="00633029"/>
    <w:rsid w:val="00633C40"/>
    <w:rsid w:val="00633E40"/>
    <w:rsid w:val="00636361"/>
    <w:rsid w:val="00640339"/>
    <w:rsid w:val="00641982"/>
    <w:rsid w:val="00641B92"/>
    <w:rsid w:val="00641F5E"/>
    <w:rsid w:val="0064406E"/>
    <w:rsid w:val="006442DF"/>
    <w:rsid w:val="0064444E"/>
    <w:rsid w:val="0064512E"/>
    <w:rsid w:val="00645C62"/>
    <w:rsid w:val="006465AB"/>
    <w:rsid w:val="00646ED5"/>
    <w:rsid w:val="00647711"/>
    <w:rsid w:val="00651E73"/>
    <w:rsid w:val="0065208E"/>
    <w:rsid w:val="006526CE"/>
    <w:rsid w:val="00653936"/>
    <w:rsid w:val="006558C0"/>
    <w:rsid w:val="00656B1D"/>
    <w:rsid w:val="00661406"/>
    <w:rsid w:val="00662142"/>
    <w:rsid w:val="00664E8B"/>
    <w:rsid w:val="00665335"/>
    <w:rsid w:val="0066604E"/>
    <w:rsid w:val="0066690B"/>
    <w:rsid w:val="00672900"/>
    <w:rsid w:val="00672D32"/>
    <w:rsid w:val="00672F26"/>
    <w:rsid w:val="0067394A"/>
    <w:rsid w:val="00675C04"/>
    <w:rsid w:val="00676630"/>
    <w:rsid w:val="00676DF3"/>
    <w:rsid w:val="00682D8A"/>
    <w:rsid w:val="0068346A"/>
    <w:rsid w:val="006842AD"/>
    <w:rsid w:val="006851C8"/>
    <w:rsid w:val="0068595E"/>
    <w:rsid w:val="006862AA"/>
    <w:rsid w:val="006867AF"/>
    <w:rsid w:val="006871B3"/>
    <w:rsid w:val="00691130"/>
    <w:rsid w:val="0069180D"/>
    <w:rsid w:val="006938F4"/>
    <w:rsid w:val="00694DD0"/>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512"/>
    <w:rsid w:val="006D4753"/>
    <w:rsid w:val="006D5795"/>
    <w:rsid w:val="006D5CAB"/>
    <w:rsid w:val="006E0F76"/>
    <w:rsid w:val="006E1429"/>
    <w:rsid w:val="006E2881"/>
    <w:rsid w:val="006E34CD"/>
    <w:rsid w:val="006E4522"/>
    <w:rsid w:val="006E4F8A"/>
    <w:rsid w:val="006E64C7"/>
    <w:rsid w:val="006E6682"/>
    <w:rsid w:val="006E673C"/>
    <w:rsid w:val="006F0B1A"/>
    <w:rsid w:val="006F2985"/>
    <w:rsid w:val="006F39FD"/>
    <w:rsid w:val="006F47D9"/>
    <w:rsid w:val="006F6992"/>
    <w:rsid w:val="006F7054"/>
    <w:rsid w:val="006F736E"/>
    <w:rsid w:val="006F7C62"/>
    <w:rsid w:val="007006ED"/>
    <w:rsid w:val="00700F21"/>
    <w:rsid w:val="00704042"/>
    <w:rsid w:val="00706FEC"/>
    <w:rsid w:val="0071118B"/>
    <w:rsid w:val="007116E4"/>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355"/>
    <w:rsid w:val="0073280F"/>
    <w:rsid w:val="00733178"/>
    <w:rsid w:val="00734993"/>
    <w:rsid w:val="00735B4A"/>
    <w:rsid w:val="00735DBA"/>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1D88"/>
    <w:rsid w:val="0076203A"/>
    <w:rsid w:val="00762612"/>
    <w:rsid w:val="00763AF2"/>
    <w:rsid w:val="00767A01"/>
    <w:rsid w:val="00767AF5"/>
    <w:rsid w:val="00771193"/>
    <w:rsid w:val="00771F15"/>
    <w:rsid w:val="007729C9"/>
    <w:rsid w:val="007742A1"/>
    <w:rsid w:val="00774600"/>
    <w:rsid w:val="00777FF4"/>
    <w:rsid w:val="00781332"/>
    <w:rsid w:val="007819B0"/>
    <w:rsid w:val="007837C1"/>
    <w:rsid w:val="007848E0"/>
    <w:rsid w:val="0078514D"/>
    <w:rsid w:val="00785B68"/>
    <w:rsid w:val="00791713"/>
    <w:rsid w:val="00791806"/>
    <w:rsid w:val="00791D2B"/>
    <w:rsid w:val="00792DCA"/>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4BAF"/>
    <w:rsid w:val="008059AB"/>
    <w:rsid w:val="008071A7"/>
    <w:rsid w:val="00807CCB"/>
    <w:rsid w:val="008101FC"/>
    <w:rsid w:val="00810670"/>
    <w:rsid w:val="008108E8"/>
    <w:rsid w:val="0081353F"/>
    <w:rsid w:val="00815304"/>
    <w:rsid w:val="00816407"/>
    <w:rsid w:val="00817E8C"/>
    <w:rsid w:val="00821226"/>
    <w:rsid w:val="00821E37"/>
    <w:rsid w:val="00821E72"/>
    <w:rsid w:val="00823CC6"/>
    <w:rsid w:val="00825809"/>
    <w:rsid w:val="00825F93"/>
    <w:rsid w:val="00831982"/>
    <w:rsid w:val="0083257F"/>
    <w:rsid w:val="00833CF7"/>
    <w:rsid w:val="00834636"/>
    <w:rsid w:val="00835E65"/>
    <w:rsid w:val="00836144"/>
    <w:rsid w:val="00837AFC"/>
    <w:rsid w:val="0084085F"/>
    <w:rsid w:val="00841F61"/>
    <w:rsid w:val="008434BA"/>
    <w:rsid w:val="00845247"/>
    <w:rsid w:val="00845D24"/>
    <w:rsid w:val="00845DBC"/>
    <w:rsid w:val="00851093"/>
    <w:rsid w:val="008517A6"/>
    <w:rsid w:val="008522DF"/>
    <w:rsid w:val="008544DB"/>
    <w:rsid w:val="008569BA"/>
    <w:rsid w:val="00862FA3"/>
    <w:rsid w:val="00862FDC"/>
    <w:rsid w:val="00863F94"/>
    <w:rsid w:val="00865845"/>
    <w:rsid w:val="00866EEF"/>
    <w:rsid w:val="008757CC"/>
    <w:rsid w:val="008765DF"/>
    <w:rsid w:val="00876EC4"/>
    <w:rsid w:val="00877453"/>
    <w:rsid w:val="0088064F"/>
    <w:rsid w:val="00880D5D"/>
    <w:rsid w:val="008833CD"/>
    <w:rsid w:val="008841D4"/>
    <w:rsid w:val="008846FA"/>
    <w:rsid w:val="00885725"/>
    <w:rsid w:val="00885DF1"/>
    <w:rsid w:val="00885F0A"/>
    <w:rsid w:val="008879C9"/>
    <w:rsid w:val="00887FCC"/>
    <w:rsid w:val="008903EF"/>
    <w:rsid w:val="00891B08"/>
    <w:rsid w:val="00892EAF"/>
    <w:rsid w:val="00893524"/>
    <w:rsid w:val="008935CB"/>
    <w:rsid w:val="00893FAC"/>
    <w:rsid w:val="0089404C"/>
    <w:rsid w:val="008A03C9"/>
    <w:rsid w:val="008A0859"/>
    <w:rsid w:val="008A1075"/>
    <w:rsid w:val="008A160D"/>
    <w:rsid w:val="008A28F0"/>
    <w:rsid w:val="008A3B39"/>
    <w:rsid w:val="008A53D4"/>
    <w:rsid w:val="008A5C04"/>
    <w:rsid w:val="008A6AE5"/>
    <w:rsid w:val="008B0272"/>
    <w:rsid w:val="008B1127"/>
    <w:rsid w:val="008B43F5"/>
    <w:rsid w:val="008C03A0"/>
    <w:rsid w:val="008C0ED3"/>
    <w:rsid w:val="008C0FFF"/>
    <w:rsid w:val="008C162C"/>
    <w:rsid w:val="008C2C97"/>
    <w:rsid w:val="008C3A8F"/>
    <w:rsid w:val="008C57E2"/>
    <w:rsid w:val="008C7007"/>
    <w:rsid w:val="008C7175"/>
    <w:rsid w:val="008D06F2"/>
    <w:rsid w:val="008D0FEC"/>
    <w:rsid w:val="008D187C"/>
    <w:rsid w:val="008D1976"/>
    <w:rsid w:val="008D3FB0"/>
    <w:rsid w:val="008D4991"/>
    <w:rsid w:val="008D5D01"/>
    <w:rsid w:val="008D74B3"/>
    <w:rsid w:val="008D7C3D"/>
    <w:rsid w:val="008D7E9D"/>
    <w:rsid w:val="008E0D8C"/>
    <w:rsid w:val="008E121B"/>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2BD0"/>
    <w:rsid w:val="00924AA2"/>
    <w:rsid w:val="009258C6"/>
    <w:rsid w:val="00925985"/>
    <w:rsid w:val="00930A02"/>
    <w:rsid w:val="00931FBC"/>
    <w:rsid w:val="00932C87"/>
    <w:rsid w:val="009401C7"/>
    <w:rsid w:val="00941DA2"/>
    <w:rsid w:val="00944457"/>
    <w:rsid w:val="00945C56"/>
    <w:rsid w:val="009462DD"/>
    <w:rsid w:val="009526A4"/>
    <w:rsid w:val="00952E2A"/>
    <w:rsid w:val="00952F8F"/>
    <w:rsid w:val="00953265"/>
    <w:rsid w:val="00953CA5"/>
    <w:rsid w:val="009546D0"/>
    <w:rsid w:val="009561A9"/>
    <w:rsid w:val="00956670"/>
    <w:rsid w:val="0096004A"/>
    <w:rsid w:val="00961770"/>
    <w:rsid w:val="00961D14"/>
    <w:rsid w:val="00962660"/>
    <w:rsid w:val="00963F04"/>
    <w:rsid w:val="00964B8E"/>
    <w:rsid w:val="00964EAF"/>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A41"/>
    <w:rsid w:val="00995F34"/>
    <w:rsid w:val="00997E5D"/>
    <w:rsid w:val="009A16A5"/>
    <w:rsid w:val="009A56D9"/>
    <w:rsid w:val="009A664B"/>
    <w:rsid w:val="009A7FC5"/>
    <w:rsid w:val="009B0294"/>
    <w:rsid w:val="009B0462"/>
    <w:rsid w:val="009B0DBA"/>
    <w:rsid w:val="009B267A"/>
    <w:rsid w:val="009B542F"/>
    <w:rsid w:val="009B6E5E"/>
    <w:rsid w:val="009B7EF8"/>
    <w:rsid w:val="009C099B"/>
    <w:rsid w:val="009C11B1"/>
    <w:rsid w:val="009C13F9"/>
    <w:rsid w:val="009C258D"/>
    <w:rsid w:val="009C402F"/>
    <w:rsid w:val="009C5A69"/>
    <w:rsid w:val="009D1437"/>
    <w:rsid w:val="009D1C1F"/>
    <w:rsid w:val="009D587E"/>
    <w:rsid w:val="009D680A"/>
    <w:rsid w:val="009D7113"/>
    <w:rsid w:val="009D7E35"/>
    <w:rsid w:val="009E53A3"/>
    <w:rsid w:val="009E5AB7"/>
    <w:rsid w:val="009E65F6"/>
    <w:rsid w:val="009E74DA"/>
    <w:rsid w:val="009F18FD"/>
    <w:rsid w:val="009F2039"/>
    <w:rsid w:val="009F26A6"/>
    <w:rsid w:val="009F2D9A"/>
    <w:rsid w:val="009F2F09"/>
    <w:rsid w:val="009F4734"/>
    <w:rsid w:val="009F4B13"/>
    <w:rsid w:val="009F4B6B"/>
    <w:rsid w:val="009F58D0"/>
    <w:rsid w:val="009F79DC"/>
    <w:rsid w:val="009F7EF8"/>
    <w:rsid w:val="00A000F6"/>
    <w:rsid w:val="00A00DE4"/>
    <w:rsid w:val="00A00FA5"/>
    <w:rsid w:val="00A0302F"/>
    <w:rsid w:val="00A034D6"/>
    <w:rsid w:val="00A03B20"/>
    <w:rsid w:val="00A03DB5"/>
    <w:rsid w:val="00A04B4B"/>
    <w:rsid w:val="00A05486"/>
    <w:rsid w:val="00A06A2B"/>
    <w:rsid w:val="00A06A3E"/>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087E"/>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257F"/>
    <w:rsid w:val="00A62A10"/>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B6112"/>
    <w:rsid w:val="00AC372A"/>
    <w:rsid w:val="00AC6805"/>
    <w:rsid w:val="00AD0968"/>
    <w:rsid w:val="00AD1B0F"/>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38FA"/>
    <w:rsid w:val="00AF49E9"/>
    <w:rsid w:val="00AF5ACF"/>
    <w:rsid w:val="00B008C0"/>
    <w:rsid w:val="00B03DFF"/>
    <w:rsid w:val="00B0598C"/>
    <w:rsid w:val="00B05C4B"/>
    <w:rsid w:val="00B05D21"/>
    <w:rsid w:val="00B10D6F"/>
    <w:rsid w:val="00B12317"/>
    <w:rsid w:val="00B124AA"/>
    <w:rsid w:val="00B13E9A"/>
    <w:rsid w:val="00B142BB"/>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16F1"/>
    <w:rsid w:val="00B421BD"/>
    <w:rsid w:val="00B429A5"/>
    <w:rsid w:val="00B4627C"/>
    <w:rsid w:val="00B47959"/>
    <w:rsid w:val="00B500C3"/>
    <w:rsid w:val="00B50C53"/>
    <w:rsid w:val="00B50DD5"/>
    <w:rsid w:val="00B544F0"/>
    <w:rsid w:val="00B545A7"/>
    <w:rsid w:val="00B60382"/>
    <w:rsid w:val="00B6158F"/>
    <w:rsid w:val="00B62374"/>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683"/>
    <w:rsid w:val="00BA29A4"/>
    <w:rsid w:val="00BA2DD4"/>
    <w:rsid w:val="00BA4CDF"/>
    <w:rsid w:val="00BA51C3"/>
    <w:rsid w:val="00BA7D81"/>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22F4"/>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6813"/>
    <w:rsid w:val="00C47C47"/>
    <w:rsid w:val="00C521FE"/>
    <w:rsid w:val="00C52A56"/>
    <w:rsid w:val="00C537D6"/>
    <w:rsid w:val="00C540BB"/>
    <w:rsid w:val="00C54CCA"/>
    <w:rsid w:val="00C54F22"/>
    <w:rsid w:val="00C55D84"/>
    <w:rsid w:val="00C56393"/>
    <w:rsid w:val="00C56BFB"/>
    <w:rsid w:val="00C6045C"/>
    <w:rsid w:val="00C6171B"/>
    <w:rsid w:val="00C61909"/>
    <w:rsid w:val="00C624D9"/>
    <w:rsid w:val="00C62A27"/>
    <w:rsid w:val="00C64580"/>
    <w:rsid w:val="00C64624"/>
    <w:rsid w:val="00C65E08"/>
    <w:rsid w:val="00C67192"/>
    <w:rsid w:val="00C703AD"/>
    <w:rsid w:val="00C70F0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4BF6"/>
    <w:rsid w:val="00C95610"/>
    <w:rsid w:val="00C95715"/>
    <w:rsid w:val="00C968B4"/>
    <w:rsid w:val="00C971F9"/>
    <w:rsid w:val="00C97317"/>
    <w:rsid w:val="00CA1B7B"/>
    <w:rsid w:val="00CA1CA8"/>
    <w:rsid w:val="00CA3591"/>
    <w:rsid w:val="00CA3E94"/>
    <w:rsid w:val="00CA406B"/>
    <w:rsid w:val="00CA6F4F"/>
    <w:rsid w:val="00CA748C"/>
    <w:rsid w:val="00CB0CB0"/>
    <w:rsid w:val="00CB0ED4"/>
    <w:rsid w:val="00CB1EFF"/>
    <w:rsid w:val="00CB2353"/>
    <w:rsid w:val="00CB4C4E"/>
    <w:rsid w:val="00CB5DCD"/>
    <w:rsid w:val="00CB6518"/>
    <w:rsid w:val="00CB682F"/>
    <w:rsid w:val="00CB739A"/>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94E"/>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02F"/>
    <w:rsid w:val="00D3783E"/>
    <w:rsid w:val="00D37A3C"/>
    <w:rsid w:val="00D411CD"/>
    <w:rsid w:val="00D41CFB"/>
    <w:rsid w:val="00D43903"/>
    <w:rsid w:val="00D43FD9"/>
    <w:rsid w:val="00D4408D"/>
    <w:rsid w:val="00D44CBD"/>
    <w:rsid w:val="00D45874"/>
    <w:rsid w:val="00D462A5"/>
    <w:rsid w:val="00D46755"/>
    <w:rsid w:val="00D46997"/>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5A49"/>
    <w:rsid w:val="00D76019"/>
    <w:rsid w:val="00D76B5F"/>
    <w:rsid w:val="00D77C4D"/>
    <w:rsid w:val="00D811D1"/>
    <w:rsid w:val="00D85123"/>
    <w:rsid w:val="00D85AF2"/>
    <w:rsid w:val="00D86B2D"/>
    <w:rsid w:val="00D91190"/>
    <w:rsid w:val="00D91D3F"/>
    <w:rsid w:val="00D91FDE"/>
    <w:rsid w:val="00D92722"/>
    <w:rsid w:val="00D975CB"/>
    <w:rsid w:val="00D9781D"/>
    <w:rsid w:val="00DA005F"/>
    <w:rsid w:val="00DA0942"/>
    <w:rsid w:val="00DA0D04"/>
    <w:rsid w:val="00DB11AA"/>
    <w:rsid w:val="00DB3EE7"/>
    <w:rsid w:val="00DB4191"/>
    <w:rsid w:val="00DB59D1"/>
    <w:rsid w:val="00DB7352"/>
    <w:rsid w:val="00DB7F2C"/>
    <w:rsid w:val="00DC17C3"/>
    <w:rsid w:val="00DC2CBA"/>
    <w:rsid w:val="00DC33A5"/>
    <w:rsid w:val="00DC33AD"/>
    <w:rsid w:val="00DC34D3"/>
    <w:rsid w:val="00DC36A6"/>
    <w:rsid w:val="00DC4940"/>
    <w:rsid w:val="00DC495A"/>
    <w:rsid w:val="00DC5266"/>
    <w:rsid w:val="00DD46A3"/>
    <w:rsid w:val="00DD50B4"/>
    <w:rsid w:val="00DD739B"/>
    <w:rsid w:val="00DD760F"/>
    <w:rsid w:val="00DE04D8"/>
    <w:rsid w:val="00DE0B28"/>
    <w:rsid w:val="00DE4B08"/>
    <w:rsid w:val="00DE6765"/>
    <w:rsid w:val="00DE6D97"/>
    <w:rsid w:val="00DE7014"/>
    <w:rsid w:val="00DE7BB8"/>
    <w:rsid w:val="00DE7C50"/>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5E72"/>
    <w:rsid w:val="00E37B8A"/>
    <w:rsid w:val="00E41D82"/>
    <w:rsid w:val="00E42135"/>
    <w:rsid w:val="00E42492"/>
    <w:rsid w:val="00E426E5"/>
    <w:rsid w:val="00E43030"/>
    <w:rsid w:val="00E43A3A"/>
    <w:rsid w:val="00E43E6A"/>
    <w:rsid w:val="00E4464A"/>
    <w:rsid w:val="00E47137"/>
    <w:rsid w:val="00E50D68"/>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00DE"/>
    <w:rsid w:val="00EA2E1B"/>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B8B"/>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1A2"/>
    <w:rsid w:val="00F245F7"/>
    <w:rsid w:val="00F25DC2"/>
    <w:rsid w:val="00F30E9B"/>
    <w:rsid w:val="00F3442B"/>
    <w:rsid w:val="00F34C81"/>
    <w:rsid w:val="00F35A19"/>
    <w:rsid w:val="00F36F9F"/>
    <w:rsid w:val="00F37610"/>
    <w:rsid w:val="00F40BD7"/>
    <w:rsid w:val="00F41044"/>
    <w:rsid w:val="00F41610"/>
    <w:rsid w:val="00F41878"/>
    <w:rsid w:val="00F4630D"/>
    <w:rsid w:val="00F4695B"/>
    <w:rsid w:val="00F46A3F"/>
    <w:rsid w:val="00F473B6"/>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41A8"/>
    <w:rsid w:val="00F85C49"/>
    <w:rsid w:val="00F873EA"/>
    <w:rsid w:val="00F9258D"/>
    <w:rsid w:val="00F925E2"/>
    <w:rsid w:val="00F93629"/>
    <w:rsid w:val="00F9525E"/>
    <w:rsid w:val="00F952C5"/>
    <w:rsid w:val="00F95643"/>
    <w:rsid w:val="00F96A43"/>
    <w:rsid w:val="00F96DD8"/>
    <w:rsid w:val="00F97429"/>
    <w:rsid w:val="00FA01D3"/>
    <w:rsid w:val="00FA2416"/>
    <w:rsid w:val="00FA31A5"/>
    <w:rsid w:val="00FA361C"/>
    <w:rsid w:val="00FA370C"/>
    <w:rsid w:val="00FA3C47"/>
    <w:rsid w:val="00FA4749"/>
    <w:rsid w:val="00FA53B1"/>
    <w:rsid w:val="00FA6F2C"/>
    <w:rsid w:val="00FB07B1"/>
    <w:rsid w:val="00FB0CC5"/>
    <w:rsid w:val="00FB0D21"/>
    <w:rsid w:val="00FB29FB"/>
    <w:rsid w:val="00FB31FA"/>
    <w:rsid w:val="00FB3BFF"/>
    <w:rsid w:val="00FB3EB6"/>
    <w:rsid w:val="00FB4459"/>
    <w:rsid w:val="00FB5D65"/>
    <w:rsid w:val="00FB6232"/>
    <w:rsid w:val="00FC1818"/>
    <w:rsid w:val="00FC1FA4"/>
    <w:rsid w:val="00FC2047"/>
    <w:rsid w:val="00FC2763"/>
    <w:rsid w:val="00FC322D"/>
    <w:rsid w:val="00FC6B5E"/>
    <w:rsid w:val="00FD13B7"/>
    <w:rsid w:val="00FD259F"/>
    <w:rsid w:val="00FD43DC"/>
    <w:rsid w:val="00FD56CC"/>
    <w:rsid w:val="00FD5A54"/>
    <w:rsid w:val="00FD5D76"/>
    <w:rsid w:val="00FD6067"/>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 w:val="00FF731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25041C"/>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0C7A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CA6F4F"/>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D811D1"/>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A2E1B"/>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762612"/>
  </w:style>
  <w:style w:type="character" w:customStyle="1" w:styleId="eop">
    <w:name w:val="eop"/>
    <w:basedOn w:val="Fuentedeprrafopredeter"/>
    <w:rsid w:val="00762612"/>
  </w:style>
  <w:style w:type="paragraph" w:styleId="Revisin">
    <w:name w:val="Revision"/>
    <w:hidden/>
    <w:uiPriority w:val="99"/>
    <w:semiHidden/>
    <w:rsid w:val="00922BD0"/>
    <w:rPr>
      <w:sz w:val="24"/>
      <w:szCs w:val="24"/>
      <w:lang w:val="es-ES" w:eastAsia="es-ES"/>
    </w:rPr>
  </w:style>
  <w:style w:type="paragraph" w:customStyle="1" w:styleId="paragraph">
    <w:name w:val="paragraph"/>
    <w:basedOn w:val="Normal"/>
    <w:rsid w:val="00922BD0"/>
    <w:pPr>
      <w:spacing w:before="100" w:beforeAutospacing="1" w:after="100" w:afterAutospacing="1"/>
    </w:pPr>
    <w:rPr>
      <w:lang w:val="es-CR" w:eastAsia="es-CR"/>
    </w:rPr>
  </w:style>
  <w:style w:type="character" w:customStyle="1" w:styleId="spellingerror">
    <w:name w:val="spellingerror"/>
    <w:basedOn w:val="Fuentedeprrafopredeter"/>
    <w:rsid w:val="00922BD0"/>
  </w:style>
  <w:style w:type="paragraph" w:styleId="Subttulo">
    <w:name w:val="Subtitle"/>
    <w:basedOn w:val="Normal"/>
    <w:next w:val="Normal"/>
    <w:link w:val="SubttuloCar"/>
    <w:rsid w:val="00922BD0"/>
    <w:pPr>
      <w:spacing w:after="160" w:line="360" w:lineRule="auto"/>
      <w:jc w:val="both"/>
    </w:pPr>
    <w:rPr>
      <w:rFonts w:ascii="Arial" w:eastAsia="Arial" w:hAnsi="Arial" w:cs="Arial"/>
      <w:b/>
      <w:lang w:val="es-CR" w:eastAsia="es-CR"/>
    </w:rPr>
  </w:style>
  <w:style w:type="character" w:customStyle="1" w:styleId="SubttuloCar">
    <w:name w:val="Subtítulo Car"/>
    <w:basedOn w:val="Fuentedeprrafopredeter"/>
    <w:link w:val="Subttulo"/>
    <w:rsid w:val="00922BD0"/>
    <w:rPr>
      <w:rFonts w:ascii="Arial" w:eastAsia="Arial" w:hAnsi="Arial" w:cs="Arial"/>
      <w:b/>
      <w:sz w:val="24"/>
      <w:szCs w:val="24"/>
    </w:rPr>
  </w:style>
  <w:style w:type="paragraph" w:styleId="Textonotaalfinal">
    <w:name w:val="endnote text"/>
    <w:basedOn w:val="Normal"/>
    <w:link w:val="TextonotaalfinalCar"/>
    <w:rsid w:val="00922BD0"/>
    <w:rPr>
      <w:sz w:val="20"/>
      <w:szCs w:val="20"/>
    </w:rPr>
  </w:style>
  <w:style w:type="character" w:customStyle="1" w:styleId="TextonotaalfinalCar">
    <w:name w:val="Texto nota al final Car"/>
    <w:basedOn w:val="Fuentedeprrafopredeter"/>
    <w:link w:val="Textonotaalfinal"/>
    <w:rsid w:val="00922BD0"/>
    <w:rPr>
      <w:lang w:val="es-ES" w:eastAsia="es-ES"/>
    </w:rPr>
  </w:style>
  <w:style w:type="character" w:styleId="Refdenotaalfinal">
    <w:name w:val="endnote reference"/>
    <w:basedOn w:val="Fuentedeprrafopredeter"/>
    <w:rsid w:val="00922BD0"/>
    <w:rPr>
      <w:vertAlign w:val="superscript"/>
    </w:rPr>
  </w:style>
  <w:style w:type="table" w:customStyle="1" w:styleId="Tablaconcuadrcula31">
    <w:name w:val="Tabla con cuadrícula31"/>
    <w:basedOn w:val="Tablanormal"/>
    <w:next w:val="Tablaconcuadrcula"/>
    <w:uiPriority w:val="39"/>
    <w:rsid w:val="00922B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2-nfasis11">
    <w:name w:val="Tabla de cuadrícula 2 - Énfasis 11"/>
    <w:basedOn w:val="Tablanormal"/>
    <w:next w:val="Tabladecuadrcula2-nfasis1"/>
    <w:uiPriority w:val="47"/>
    <w:rsid w:val="002B0374"/>
    <w:rPr>
      <w:rFonts w:ascii="Calibri" w:eastAsia="Calibri" w:hAnsi="Calibri"/>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ladecuadrcula2-nfasis1">
    <w:name w:val="Grid Table 2 Accent 1"/>
    <w:basedOn w:val="Tablanormal"/>
    <w:uiPriority w:val="47"/>
    <w:rsid w:val="002B0374"/>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18166725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366105203">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01038587">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Documento_de_Microsoft_Word_97-2003.doc"/></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83900-F470-4C44-9E15-94DE0CA88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2</Pages>
  <Words>625</Words>
  <Characters>3657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Damaris Quesada Murillo</cp:lastModifiedBy>
  <cp:revision>234</cp:revision>
  <cp:lastPrinted>2019-08-14T19:53:00Z</cp:lastPrinted>
  <dcterms:created xsi:type="dcterms:W3CDTF">2018-05-02T21:37:00Z</dcterms:created>
  <dcterms:modified xsi:type="dcterms:W3CDTF">2019-11-20T21:07:00Z</dcterms:modified>
</cp:coreProperties>
</file>