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65A48" w:rsidRDefault="00765A48" w:rsidP="000E4C68">
      <w:pPr>
        <w:tabs>
          <w:tab w:val="left" w:pos="7313"/>
        </w:tabs>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D5143">
        <w:rPr>
          <w:rFonts w:ascii="Arial" w:hAnsi="Arial" w:cs="Arial"/>
          <w:b/>
          <w:bCs/>
          <w:iCs/>
          <w:sz w:val="26"/>
          <w:szCs w:val="22"/>
          <w:lang w:val="es-CR"/>
        </w:rPr>
        <w:t>1283</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Default="007742A1" w:rsidP="007742A1">
      <w:pPr>
        <w:rPr>
          <w:rFonts w:ascii="Cambria" w:eastAsia="Cambria" w:hAnsi="Cambria" w:cs="Arial"/>
          <w:bCs/>
          <w:iCs/>
          <w:sz w:val="16"/>
          <w:szCs w:val="16"/>
          <w:lang w:val="es-ES_tradnl" w:eastAsia="en-US"/>
        </w:rPr>
      </w:pPr>
    </w:p>
    <w:p w:rsidR="00765A48" w:rsidRPr="00D958BC" w:rsidRDefault="00765A48"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53552F" w:rsidRDefault="00E20911"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476CE1" w:rsidRPr="00771F15">
              <w:rPr>
                <w:rFonts w:ascii="Arial" w:eastAsia="Cambria" w:hAnsi="Arial" w:cs="Arial"/>
                <w:sz w:val="22"/>
                <w:szCs w:val="22"/>
                <w:lang w:val="es-ES_tradnl" w:eastAsia="en-US"/>
              </w:rPr>
              <w:t>Ing. Luis Paulino Méndez Badilla</w:t>
            </w:r>
            <w:r w:rsidR="0090700F" w:rsidRPr="00771F15">
              <w:rPr>
                <w:rFonts w:ascii="Arial" w:eastAsia="Cambria" w:hAnsi="Arial" w:cs="Arial"/>
                <w:sz w:val="22"/>
                <w:szCs w:val="22"/>
                <w:lang w:val="es-ES_tradnl" w:eastAsia="en-US"/>
              </w:rPr>
              <w:t>, Rector</w:t>
            </w:r>
          </w:p>
          <w:p w:rsidR="00765A48" w:rsidRDefault="004208F2"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 José Luis Cerdas Sánchez, </w:t>
            </w:r>
            <w:r w:rsidR="00765A48">
              <w:rPr>
                <w:rFonts w:ascii="Arial" w:eastAsia="Cambria" w:hAnsi="Arial" w:cs="Arial"/>
                <w:sz w:val="22"/>
                <w:szCs w:val="22"/>
                <w:lang w:val="es-ES_tradnl" w:eastAsia="en-US"/>
              </w:rPr>
              <w:t>Defensor Estudiantil</w:t>
            </w:r>
          </w:p>
          <w:p w:rsidR="004208F2" w:rsidRDefault="00765A48"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Federación de Estudiantes del </w:t>
            </w:r>
            <w:r w:rsidR="004208F2">
              <w:rPr>
                <w:rFonts w:ascii="Arial" w:eastAsia="Cambria" w:hAnsi="Arial" w:cs="Arial"/>
                <w:sz w:val="22"/>
                <w:szCs w:val="22"/>
                <w:lang w:val="es-ES_tradnl" w:eastAsia="en-US"/>
              </w:rPr>
              <w:t>TEC</w:t>
            </w:r>
          </w:p>
          <w:p w:rsidR="00D75A49" w:rsidRPr="00256C13" w:rsidRDefault="00D75A49" w:rsidP="00C022F4">
            <w:pPr>
              <w:ind w:left="45"/>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p w:rsidR="00765A48" w:rsidRPr="008E0D8C" w:rsidRDefault="00765A48" w:rsidP="008D7E9D">
            <w:pPr>
              <w:ind w:left="45"/>
              <w:jc w:val="both"/>
              <w:rPr>
                <w:rFonts w:ascii="Arial" w:eastAsia="Cambria" w:hAnsi="Arial" w:cs="Arial"/>
                <w:sz w:val="22"/>
                <w:szCs w:val="22"/>
                <w:lang w:val="es-ES_tradnl" w:eastAsia="en-US"/>
              </w:rPr>
            </w:pP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tc>
        <w:tc>
          <w:tcPr>
            <w:tcW w:w="7611" w:type="dxa"/>
          </w:tcPr>
          <w:p w:rsidR="00336F05" w:rsidRPr="008E0D8C" w:rsidRDefault="00336F05" w:rsidP="00701DC0">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C56215" w:rsidRPr="00832C8E" w:rsidRDefault="00FF209C" w:rsidP="00C56215">
            <w:pPr>
              <w:jc w:val="both"/>
              <w:rPr>
                <w:rFonts w:ascii="Arial" w:eastAsia="Calibri" w:hAnsi="Arial" w:cs="Arial"/>
                <w:b/>
                <w:bCs/>
                <w:sz w:val="22"/>
                <w:szCs w:val="22"/>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D93843">
              <w:rPr>
                <w:rFonts w:ascii="Arial" w:eastAsia="Calibri" w:hAnsi="Arial" w:cs="Arial"/>
                <w:b/>
                <w:sz w:val="22"/>
                <w:szCs w:val="22"/>
              </w:rPr>
              <w:t>4</w:t>
            </w:r>
            <w:r w:rsidR="00832C8E">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B95071">
              <w:rPr>
                <w:rFonts w:ascii="Arial" w:eastAsia="Calibri" w:hAnsi="Arial" w:cs="Arial"/>
                <w:b/>
                <w:sz w:val="22"/>
                <w:szCs w:val="22"/>
              </w:rPr>
              <w:t>7</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w:t>
            </w:r>
            <w:r w:rsidR="00832C8E">
              <w:rPr>
                <w:rFonts w:ascii="Arial" w:eastAsia="Calibri" w:hAnsi="Arial" w:cs="Arial"/>
                <w:b/>
                <w:sz w:val="22"/>
                <w:szCs w:val="22"/>
              </w:rPr>
              <w:t>20</w:t>
            </w:r>
            <w:r w:rsidR="00AB77D4">
              <w:rPr>
                <w:rFonts w:ascii="Arial" w:eastAsia="Calibri" w:hAnsi="Arial" w:cs="Arial"/>
                <w:b/>
                <w:sz w:val="22"/>
                <w:szCs w:val="22"/>
              </w:rPr>
              <w:t xml:space="preserve"> de noviembre de 2019</w:t>
            </w:r>
            <w:r w:rsidR="00925985" w:rsidRPr="008F0835">
              <w:rPr>
                <w:rFonts w:ascii="Arial" w:eastAsia="Calibri" w:hAnsi="Arial" w:cs="Arial"/>
                <w:b/>
                <w:sz w:val="22"/>
                <w:szCs w:val="22"/>
              </w:rPr>
              <w:t>.</w:t>
            </w:r>
            <w:r w:rsidR="00E20911">
              <w:rPr>
                <w:rFonts w:ascii="Arial" w:eastAsia="Calibri" w:hAnsi="Arial" w:cs="Arial"/>
                <w:b/>
                <w:sz w:val="22"/>
                <w:szCs w:val="22"/>
              </w:rPr>
              <w:t xml:space="preserve"> </w:t>
            </w:r>
            <w:r w:rsidR="00FA6861" w:rsidRPr="00FA6861">
              <w:rPr>
                <w:rFonts w:ascii="Arial" w:eastAsia="Cambria" w:hAnsi="Arial" w:cs="Arial"/>
                <w:bCs/>
                <w:i/>
                <w:sz w:val="22"/>
                <w:szCs w:val="22"/>
                <w:lang w:val="es-CR" w:eastAsia="en-US"/>
              </w:rPr>
              <w:t xml:space="preserve"> </w:t>
            </w:r>
            <w:r w:rsidR="00832C8E" w:rsidRPr="00832C8E">
              <w:rPr>
                <w:rFonts w:ascii="Arial" w:hAnsi="Arial" w:cs="Arial"/>
                <w:b/>
                <w:bCs/>
                <w:sz w:val="22"/>
                <w:szCs w:val="22"/>
              </w:rPr>
              <w:t>Atención del recurso de revocatoria con apelación en subsidio presentado por el Lic. José Luis Cerdas Sánchez, en contra del acuerdo de la Sesión Ordinaria No. 3145, Artículo 14. (Primera Sesión Ordinaria)</w:t>
            </w:r>
          </w:p>
          <w:p w:rsidR="008C7175" w:rsidRPr="00AB77D4" w:rsidRDefault="00FA6861" w:rsidP="00C56215">
            <w:pPr>
              <w:jc w:val="both"/>
              <w:rPr>
                <w:rFonts w:ascii="Arial" w:eastAsia="Calibri" w:hAnsi="Arial" w:cs="Arial"/>
                <w:b/>
                <w:sz w:val="22"/>
                <w:szCs w:val="22"/>
                <w:lang w:val="es-CR"/>
              </w:rPr>
            </w:pPr>
            <w:r w:rsidRPr="00FA6861">
              <w:rPr>
                <w:rFonts w:ascii="Arial" w:eastAsia="Cambria" w:hAnsi="Arial" w:cs="Arial"/>
                <w:bCs/>
                <w:i/>
                <w:sz w:val="22"/>
                <w:szCs w:val="22"/>
                <w:lang w:val="es-CR" w:eastAsia="en-US"/>
              </w:rPr>
              <w:t xml:space="preserve"> </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20911" w:rsidRDefault="00E20911" w:rsidP="007742A1">
      <w:pPr>
        <w:jc w:val="both"/>
        <w:rPr>
          <w:rFonts w:ascii="Arial" w:eastAsia="Cambria" w:hAnsi="Arial" w:cs="Arial"/>
          <w:lang w:val="es-ES_tradnl" w:eastAsia="en-US"/>
        </w:rPr>
      </w:pPr>
    </w:p>
    <w:p w:rsidR="004208F2" w:rsidRPr="004208F2" w:rsidRDefault="007C1C18" w:rsidP="004208F2">
      <w:pPr>
        <w:tabs>
          <w:tab w:val="left" w:pos="2880"/>
        </w:tabs>
        <w:jc w:val="both"/>
        <w:rPr>
          <w:rFonts w:ascii="Arial" w:eastAsia="Cambria" w:hAnsi="Arial"/>
          <w:b/>
          <w:color w:val="000000"/>
          <w:lang w:val="es-ES_tradnl" w:eastAsia="es-CR"/>
        </w:rPr>
      </w:pPr>
      <w:sdt>
        <w:sdtPr>
          <w:rPr>
            <w:rFonts w:ascii="Arial" w:eastAsia="Cambria" w:hAnsi="Arial"/>
            <w:color w:val="000000"/>
            <w:sz w:val="20"/>
            <w:lang w:val="es-ES_tradnl" w:eastAsia="es-CR"/>
          </w:rPr>
          <w:tag w:val="goog_rdk_0"/>
          <w:id w:val="1886215832"/>
          <w:showingPlcHdr/>
        </w:sdtPr>
        <w:sdtEndPr/>
        <w:sdtContent>
          <w:r w:rsidR="004208F2" w:rsidRPr="004208F2">
            <w:rPr>
              <w:rFonts w:ascii="Arial" w:eastAsia="Cambria" w:hAnsi="Arial"/>
              <w:color w:val="000000"/>
              <w:sz w:val="20"/>
              <w:lang w:val="es-ES_tradnl" w:eastAsia="es-CR"/>
            </w:rPr>
            <w:t xml:space="preserve">     </w:t>
          </w:r>
        </w:sdtContent>
      </w:sdt>
      <w:r w:rsidR="004208F2" w:rsidRPr="004208F2">
        <w:rPr>
          <w:rFonts w:ascii="Arial" w:eastAsia="Cambria" w:hAnsi="Arial"/>
          <w:b/>
          <w:color w:val="000000"/>
          <w:lang w:val="es-ES_tradnl" w:eastAsia="es-CR"/>
        </w:rPr>
        <w:t>RESULTANDO QUE:</w:t>
      </w:r>
      <w:r w:rsidR="004208F2" w:rsidRPr="004208F2">
        <w:rPr>
          <w:rFonts w:ascii="Arial" w:eastAsia="Cambria" w:hAnsi="Arial"/>
          <w:b/>
          <w:color w:val="000000"/>
          <w:lang w:val="es-ES_tradnl" w:eastAsia="es-CR"/>
        </w:rPr>
        <w:tab/>
      </w:r>
    </w:p>
    <w:p w:rsidR="004208F2" w:rsidRPr="004208F2" w:rsidRDefault="004208F2" w:rsidP="004208F2">
      <w:pPr>
        <w:tabs>
          <w:tab w:val="left" w:pos="2880"/>
        </w:tabs>
        <w:jc w:val="both"/>
        <w:rPr>
          <w:rFonts w:ascii="Arial" w:eastAsia="Cambria" w:hAnsi="Arial"/>
          <w:b/>
          <w:color w:val="000000"/>
          <w:lang w:val="es-ES_tradnl" w:eastAsia="es-CR"/>
        </w:rPr>
      </w:pPr>
    </w:p>
    <w:p w:rsidR="004208F2" w:rsidRPr="004208F2" w:rsidRDefault="004208F2" w:rsidP="004208F2">
      <w:pPr>
        <w:numPr>
          <w:ilvl w:val="0"/>
          <w:numId w:val="10"/>
        </w:numPr>
        <w:tabs>
          <w:tab w:val="left" w:pos="3070"/>
        </w:tabs>
        <w:jc w:val="both"/>
        <w:rPr>
          <w:rFonts w:eastAsia="Calibri"/>
          <w:b/>
          <w:color w:val="000000"/>
          <w:lang w:val="es-CR"/>
        </w:rPr>
      </w:pPr>
      <w:r w:rsidRPr="004208F2">
        <w:rPr>
          <w:rFonts w:ascii="Arial" w:eastAsia="Calibri" w:hAnsi="Arial" w:cs="Arial"/>
          <w:color w:val="000000"/>
          <w:lang w:val="es-CR"/>
        </w:rPr>
        <w:t>En la Sesión Ordinaria No. 3141, artículo 18, del 09 de octubre del 2019, el Consejo Institucional acordó modificar los artículos 40 y 66, del “Reglamento de Régimen de Enseñanza-Aprendizaje del Instituto Tecnológico de Costa Rica”.</w:t>
      </w:r>
    </w:p>
    <w:p w:rsidR="004208F2" w:rsidRPr="004208F2" w:rsidRDefault="004208F2" w:rsidP="004208F2">
      <w:pPr>
        <w:tabs>
          <w:tab w:val="left" w:pos="3070"/>
        </w:tabs>
        <w:ind w:left="360"/>
        <w:jc w:val="both"/>
        <w:rPr>
          <w:rFonts w:eastAsia="Calibri"/>
          <w:b/>
          <w:color w:val="000000"/>
          <w:lang w:val="es-CR"/>
        </w:rPr>
      </w:pPr>
    </w:p>
    <w:p w:rsidR="004208F2" w:rsidRPr="004208F2" w:rsidRDefault="004208F2" w:rsidP="004208F2">
      <w:pPr>
        <w:numPr>
          <w:ilvl w:val="0"/>
          <w:numId w:val="10"/>
        </w:numPr>
        <w:tabs>
          <w:tab w:val="left" w:pos="3070"/>
        </w:tabs>
        <w:jc w:val="both"/>
        <w:rPr>
          <w:rFonts w:eastAsia="Calibri"/>
          <w:b/>
          <w:color w:val="000000"/>
          <w:lang w:val="es-CR"/>
        </w:rPr>
      </w:pPr>
      <w:r w:rsidRPr="004208F2">
        <w:rPr>
          <w:rFonts w:ascii="Arial" w:eastAsia="Calibri" w:hAnsi="Arial" w:cs="Arial"/>
          <w:color w:val="000000"/>
          <w:lang w:val="es-CR"/>
        </w:rPr>
        <w:t>El acuerdo indicado en el punto anterior fue publicado en la Gaceta Institucional número 589, con fecha 10 de octubre del 2019.</w:t>
      </w:r>
    </w:p>
    <w:p w:rsidR="004208F2" w:rsidRPr="004208F2" w:rsidRDefault="004208F2" w:rsidP="004208F2">
      <w:pPr>
        <w:tabs>
          <w:tab w:val="left" w:pos="3070"/>
        </w:tabs>
        <w:jc w:val="both"/>
        <w:rPr>
          <w:rFonts w:ascii="Arial" w:eastAsia="Cambria" w:hAnsi="Arial"/>
          <w:b/>
          <w:color w:val="000000"/>
          <w:lang w:val="es-ES_tradnl" w:eastAsia="es-CR"/>
        </w:rPr>
      </w:pPr>
    </w:p>
    <w:p w:rsidR="004208F2" w:rsidRPr="004208F2" w:rsidRDefault="004208F2" w:rsidP="004208F2">
      <w:pPr>
        <w:numPr>
          <w:ilvl w:val="0"/>
          <w:numId w:val="10"/>
        </w:numPr>
        <w:ind w:left="426" w:hanging="426"/>
        <w:jc w:val="both"/>
        <w:rPr>
          <w:rFonts w:ascii="Arial" w:eastAsia="Cambria" w:hAnsi="Arial"/>
          <w:color w:val="000000"/>
          <w:lang w:val="es-ES_tradnl" w:eastAsia="es-CR"/>
        </w:rPr>
      </w:pPr>
      <w:r w:rsidRPr="004208F2">
        <w:rPr>
          <w:rFonts w:ascii="Arial" w:eastAsia="Cambria" w:hAnsi="Arial"/>
          <w:color w:val="000000"/>
          <w:lang w:val="es-ES_tradnl" w:eastAsia="es-CR"/>
        </w:rPr>
        <w:t xml:space="preserve">Mediante oficio, sin número de consecutivo, del 17 de octubre del año 2019, el Lic. José Luis Cerdas Sánchez presentó recurso de adición y aclaración, sobre el acuerdo de la Sesión Ordinaria No. 3141, </w:t>
      </w:r>
      <w:sdt>
        <w:sdtPr>
          <w:rPr>
            <w:rFonts w:ascii="Arial" w:eastAsia="Cambria" w:hAnsi="Arial"/>
            <w:color w:val="000000"/>
            <w:sz w:val="20"/>
            <w:lang w:val="es-ES_tradnl" w:eastAsia="es-CR"/>
          </w:rPr>
          <w:tag w:val="goog_rdk_2"/>
          <w:id w:val="571317393"/>
        </w:sdtPr>
        <w:sdtEndPr/>
        <w:sdtContent>
          <w:r w:rsidRPr="004208F2">
            <w:rPr>
              <w:rFonts w:ascii="Arial" w:eastAsia="Cambria" w:hAnsi="Arial"/>
              <w:color w:val="000000"/>
              <w:lang w:val="es-ES_tradnl" w:eastAsia="es-CR"/>
            </w:rPr>
            <w:t>a</w:t>
          </w:r>
        </w:sdtContent>
      </w:sdt>
      <w:r w:rsidRPr="004208F2">
        <w:rPr>
          <w:rFonts w:ascii="Arial" w:eastAsia="Cambria" w:hAnsi="Arial"/>
          <w:color w:val="000000"/>
          <w:lang w:val="es-ES_tradnl" w:eastAsia="es-CR"/>
        </w:rPr>
        <w:t>rtículo 18, del 09 de octubre de 2019, el cual fue atendido por el Consejo Institucional, por medio del acuerdo de la Sesión Ordinaria No. 3145, Artículo 14, realizada el miércoles 30 de octubre de 2019, en los siguientes términos:</w:t>
      </w:r>
    </w:p>
    <w:p w:rsidR="004208F2" w:rsidRPr="004208F2" w:rsidRDefault="004208F2" w:rsidP="004208F2">
      <w:pPr>
        <w:jc w:val="both"/>
        <w:rPr>
          <w:rFonts w:ascii="Arial" w:eastAsia="Cambria" w:hAnsi="Arial"/>
          <w:color w:val="000000"/>
          <w:lang w:val="es-ES_tradnl" w:eastAsia="es-CR"/>
        </w:rPr>
      </w:pPr>
    </w:p>
    <w:p w:rsidR="004208F2" w:rsidRPr="004208F2" w:rsidRDefault="004208F2" w:rsidP="004208F2">
      <w:pPr>
        <w:ind w:left="426"/>
        <w:jc w:val="both"/>
        <w:rPr>
          <w:rFonts w:ascii="Arial" w:eastAsia="Cambria" w:hAnsi="Arial"/>
          <w:i/>
          <w:color w:val="000000"/>
          <w:lang w:val="es-ES_tradnl" w:eastAsia="es-CR"/>
        </w:rPr>
      </w:pPr>
      <w:r w:rsidRPr="004208F2">
        <w:rPr>
          <w:rFonts w:ascii="Arial" w:eastAsia="Cambria" w:hAnsi="Arial"/>
          <w:i/>
          <w:color w:val="000000"/>
          <w:lang w:val="es-ES_tradnl" w:eastAsia="es-CR"/>
        </w:rPr>
        <w:t>“…</w:t>
      </w:r>
    </w:p>
    <w:p w:rsidR="004208F2" w:rsidRPr="004208F2" w:rsidRDefault="004208F2" w:rsidP="004208F2">
      <w:pPr>
        <w:numPr>
          <w:ilvl w:val="0"/>
          <w:numId w:val="11"/>
        </w:numPr>
        <w:ind w:left="993" w:right="333" w:hanging="426"/>
        <w:jc w:val="both"/>
        <w:rPr>
          <w:rFonts w:ascii="Arial" w:eastAsia="Cambria" w:hAnsi="Arial"/>
          <w:b/>
          <w:i/>
          <w:color w:val="000000"/>
          <w:sz w:val="22"/>
          <w:szCs w:val="22"/>
          <w:lang w:val="es-ES_tradnl" w:eastAsia="es-CR"/>
        </w:rPr>
      </w:pPr>
      <w:r w:rsidRPr="004208F2">
        <w:rPr>
          <w:rFonts w:ascii="Arial" w:eastAsia="Cambria" w:hAnsi="Arial"/>
          <w:i/>
          <w:color w:val="000000"/>
          <w:sz w:val="22"/>
          <w:szCs w:val="22"/>
          <w:lang w:val="es-ES_tradnl" w:eastAsia="es-CR"/>
        </w:rPr>
        <w:t>Rechazar por improcedente el recurso de adición y aclaración interpuesto por el Lic. José Luis Cerdas Sánchez, en contra del acuerdo de la Sesión Ordinaria No. 3141, artículo 18, del 09 de octubre de 2019, relacionado a la reforma de los artículos 40 y 66 del Reglamento del Régimen de Enseñanza-Aprendizaje del Instituto Tecnológico de Costa Rica y sus Reformas.</w:t>
      </w:r>
    </w:p>
    <w:p w:rsidR="004208F2" w:rsidRDefault="004208F2" w:rsidP="004208F2">
      <w:pPr>
        <w:numPr>
          <w:ilvl w:val="0"/>
          <w:numId w:val="11"/>
        </w:numPr>
        <w:ind w:left="993" w:right="333" w:hanging="426"/>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Indicar al Lic. José Luis Cerdas Sánchez que, sobre este acuerdo cabe recurso de apelación ante la Asamblea Institucional Representativa, en el plazo máximo de cinco días hábiles, posteriores a la notificación del acuerdo, en los términos que indica el Reglamento de la Asamblea Institucional Representativa.</w:t>
      </w:r>
    </w:p>
    <w:p w:rsidR="00765A48" w:rsidRDefault="00765A48" w:rsidP="00765A48">
      <w:pPr>
        <w:ind w:right="333"/>
        <w:jc w:val="both"/>
        <w:rPr>
          <w:rFonts w:ascii="Arial" w:eastAsia="Cambria" w:hAnsi="Arial"/>
          <w:i/>
          <w:color w:val="000000"/>
          <w:sz w:val="22"/>
          <w:szCs w:val="22"/>
          <w:lang w:val="es-ES_tradnl" w:eastAsia="es-CR"/>
        </w:rPr>
      </w:pPr>
    </w:p>
    <w:p w:rsidR="00765A48" w:rsidRDefault="00765A48" w:rsidP="00765A48">
      <w:pPr>
        <w:ind w:right="333"/>
        <w:jc w:val="both"/>
        <w:rPr>
          <w:rFonts w:ascii="Arial" w:eastAsia="Cambria" w:hAnsi="Arial"/>
          <w:i/>
          <w:color w:val="000000"/>
          <w:sz w:val="22"/>
          <w:szCs w:val="22"/>
          <w:lang w:val="es-ES_tradnl" w:eastAsia="es-CR"/>
        </w:rPr>
      </w:pPr>
    </w:p>
    <w:p w:rsidR="00765A48" w:rsidRDefault="00765A48" w:rsidP="00765A48">
      <w:pPr>
        <w:ind w:right="333"/>
        <w:jc w:val="both"/>
        <w:rPr>
          <w:rFonts w:ascii="Arial" w:eastAsia="Cambria" w:hAnsi="Arial"/>
          <w:i/>
          <w:color w:val="000000"/>
          <w:sz w:val="22"/>
          <w:szCs w:val="22"/>
          <w:lang w:val="es-ES_tradnl" w:eastAsia="es-CR"/>
        </w:rPr>
      </w:pPr>
    </w:p>
    <w:p w:rsidR="00765A48" w:rsidRDefault="00765A48" w:rsidP="00765A48">
      <w:pPr>
        <w:ind w:right="333"/>
        <w:jc w:val="both"/>
        <w:rPr>
          <w:rFonts w:ascii="Arial" w:eastAsia="Cambria" w:hAnsi="Arial"/>
          <w:i/>
          <w:color w:val="000000"/>
          <w:sz w:val="22"/>
          <w:szCs w:val="22"/>
          <w:lang w:val="es-ES_tradnl" w:eastAsia="es-CR"/>
        </w:rPr>
      </w:pPr>
    </w:p>
    <w:p w:rsidR="00765A48" w:rsidRPr="004208F2" w:rsidRDefault="00765A48" w:rsidP="00765A48">
      <w:pPr>
        <w:ind w:right="333"/>
        <w:jc w:val="both"/>
        <w:rPr>
          <w:rFonts w:ascii="Arial" w:eastAsia="Cambria" w:hAnsi="Arial"/>
          <w:i/>
          <w:color w:val="000000"/>
          <w:sz w:val="22"/>
          <w:szCs w:val="22"/>
          <w:lang w:val="es-ES_tradnl" w:eastAsia="es-CR"/>
        </w:rPr>
      </w:pPr>
    </w:p>
    <w:p w:rsidR="00765A48" w:rsidRPr="00765A48" w:rsidRDefault="004208F2" w:rsidP="00117CF6">
      <w:pPr>
        <w:numPr>
          <w:ilvl w:val="0"/>
          <w:numId w:val="11"/>
        </w:numPr>
        <w:ind w:left="993" w:right="333" w:hanging="426"/>
        <w:jc w:val="both"/>
        <w:rPr>
          <w:rFonts w:ascii="Arial" w:eastAsia="Arial" w:hAnsi="Arial"/>
          <w:i/>
          <w:color w:val="000000"/>
          <w:sz w:val="22"/>
          <w:szCs w:val="22"/>
          <w:lang w:val="es-ES_tradnl" w:eastAsia="en-US"/>
        </w:rPr>
      </w:pPr>
      <w:r w:rsidRPr="00765A48">
        <w:rPr>
          <w:rFonts w:ascii="Arial" w:eastAsia="Arial" w:hAnsi="Arial"/>
          <w:i/>
          <w:color w:val="000000"/>
          <w:sz w:val="22"/>
          <w:szCs w:val="22"/>
          <w:lang w:val="es-ES_tradnl" w:eastAsia="en-US"/>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w:t>
      </w:r>
      <w:r w:rsidR="00765A48" w:rsidRPr="00765A48">
        <w:rPr>
          <w:rFonts w:ascii="Arial" w:eastAsia="Arial" w:hAnsi="Arial"/>
          <w:i/>
          <w:color w:val="000000"/>
          <w:sz w:val="22"/>
          <w:szCs w:val="22"/>
          <w:lang w:val="es-ES_tradnl" w:eastAsia="en-US"/>
        </w:rPr>
        <w:t xml:space="preserve"> </w:t>
      </w:r>
    </w:p>
    <w:p w:rsidR="004208F2" w:rsidRPr="004208F2" w:rsidRDefault="004208F2" w:rsidP="00765A48">
      <w:pPr>
        <w:ind w:left="993" w:right="333"/>
        <w:jc w:val="both"/>
        <w:rPr>
          <w:rFonts w:ascii="Arial" w:eastAsia="Arial" w:hAnsi="Arial" w:cs="Arial"/>
          <w:i/>
          <w:color w:val="000000"/>
          <w:sz w:val="22"/>
          <w:szCs w:val="22"/>
          <w:lang w:val="es-ES_tradnl" w:eastAsia="en-US"/>
        </w:rPr>
      </w:pPr>
      <w:r w:rsidRPr="004208F2">
        <w:rPr>
          <w:rFonts w:ascii="Arial" w:eastAsia="Arial" w:hAnsi="Arial"/>
          <w:i/>
          <w:color w:val="000000"/>
          <w:sz w:val="22"/>
          <w:szCs w:val="22"/>
          <w:lang w:val="es-ES_tradnl" w:eastAsia="en-US"/>
        </w:rPr>
        <w:t xml:space="preserve">ambos recursos o uno solo de ellos, sin que puedan las autoridades recurridas </w:t>
      </w:r>
      <w:r w:rsidRPr="004208F2">
        <w:rPr>
          <w:rFonts w:ascii="Arial" w:eastAsia="Arial" w:hAnsi="Arial"/>
          <w:i/>
          <w:color w:val="000000"/>
          <w:sz w:val="22"/>
          <w:szCs w:val="22"/>
          <w:lang w:val="es-ES_tradnl" w:eastAsia="en-US"/>
        </w:rPr>
        <w:lastRenderedPageBreak/>
        <w:t>desestimar o rechazar un recurso, porque el recurrente no haya interpuesto el recurso previo.”</w:t>
      </w:r>
    </w:p>
    <w:p w:rsidR="004208F2" w:rsidRPr="004208F2" w:rsidRDefault="004208F2" w:rsidP="004208F2">
      <w:pPr>
        <w:jc w:val="both"/>
        <w:rPr>
          <w:rFonts w:ascii="Arial" w:eastAsia="Cambria" w:hAnsi="Arial"/>
          <w:color w:val="000000"/>
          <w:sz w:val="22"/>
          <w:szCs w:val="22"/>
          <w:lang w:val="es-ES_tradnl" w:eastAsia="es-CR"/>
        </w:rPr>
      </w:pPr>
    </w:p>
    <w:p w:rsidR="004208F2" w:rsidRPr="004208F2" w:rsidRDefault="004208F2" w:rsidP="004208F2">
      <w:pPr>
        <w:numPr>
          <w:ilvl w:val="0"/>
          <w:numId w:val="10"/>
        </w:numPr>
        <w:ind w:left="426" w:hanging="426"/>
        <w:jc w:val="both"/>
        <w:rPr>
          <w:rFonts w:ascii="Arial" w:eastAsia="Cambria" w:hAnsi="Arial"/>
          <w:color w:val="000000"/>
          <w:lang w:val="es-ES_tradnl" w:eastAsia="es-CR"/>
        </w:rPr>
      </w:pPr>
      <w:r w:rsidRPr="004208F2">
        <w:rPr>
          <w:rFonts w:ascii="Arial" w:eastAsia="Cambria" w:hAnsi="Arial"/>
          <w:color w:val="000000"/>
          <w:lang w:val="es-ES_tradnl" w:eastAsia="es-CR"/>
        </w:rPr>
        <w:t>Mediante documento recibido el 07 de noviembre de 2019, sin número de consecutivo, el Lic. José Luis Cerdas Sánchez presenta recurso de revocatoria y de apelación en subsidio, ante la Asamblea Institucional Representativa, en contra del acuerdo de la Sesión Ordinaria No. 3145, Artículo 14.</w:t>
      </w:r>
    </w:p>
    <w:p w:rsidR="004208F2" w:rsidRPr="004208F2" w:rsidRDefault="004208F2" w:rsidP="004208F2">
      <w:pPr>
        <w:jc w:val="both"/>
        <w:rPr>
          <w:rFonts w:ascii="Arial" w:eastAsia="Cambria" w:hAnsi="Arial"/>
          <w:color w:val="000000"/>
          <w:lang w:val="es-ES_tradnl" w:eastAsia="es-CR"/>
        </w:rPr>
      </w:pPr>
    </w:p>
    <w:p w:rsidR="004208F2" w:rsidRPr="004208F2" w:rsidRDefault="004208F2" w:rsidP="004208F2">
      <w:pPr>
        <w:numPr>
          <w:ilvl w:val="0"/>
          <w:numId w:val="10"/>
        </w:numPr>
        <w:ind w:left="426" w:hanging="426"/>
        <w:jc w:val="both"/>
        <w:rPr>
          <w:rFonts w:ascii="Arial" w:eastAsia="Cambria" w:hAnsi="Arial"/>
          <w:color w:val="000000"/>
          <w:lang w:val="es-ES_tradnl" w:eastAsia="es-CR"/>
        </w:rPr>
      </w:pPr>
      <w:r w:rsidRPr="004208F2">
        <w:rPr>
          <w:rFonts w:ascii="Arial" w:eastAsia="Cambria" w:hAnsi="Arial"/>
          <w:color w:val="000000"/>
          <w:lang w:val="es-ES_tradnl" w:eastAsia="es-CR"/>
        </w:rPr>
        <w:t>El acuerdo de la Sesión Ordinaria No. 3145, Artículo 14, le fue notificado al Lic. Cerdas Sánchez el 31 de octubre de 2019, mediante correo electrónico.</w:t>
      </w:r>
    </w:p>
    <w:p w:rsidR="004208F2" w:rsidRPr="004208F2" w:rsidRDefault="004208F2" w:rsidP="004208F2">
      <w:pPr>
        <w:ind w:left="708"/>
        <w:rPr>
          <w:rFonts w:eastAsia="Calibri"/>
          <w:color w:val="000000"/>
          <w:lang w:val="es-CR"/>
        </w:rPr>
      </w:pPr>
    </w:p>
    <w:p w:rsidR="004208F2" w:rsidRPr="004208F2" w:rsidRDefault="004208F2" w:rsidP="004208F2">
      <w:pPr>
        <w:numPr>
          <w:ilvl w:val="0"/>
          <w:numId w:val="10"/>
        </w:numPr>
        <w:ind w:left="426" w:hanging="426"/>
        <w:jc w:val="both"/>
        <w:rPr>
          <w:rFonts w:ascii="Arial" w:eastAsia="Cambria" w:hAnsi="Arial"/>
          <w:color w:val="000000"/>
          <w:lang w:val="es-ES_tradnl" w:eastAsia="es-CR"/>
        </w:rPr>
      </w:pPr>
      <w:r w:rsidRPr="004208F2">
        <w:rPr>
          <w:rFonts w:ascii="Arial" w:eastAsia="Cambria" w:hAnsi="Arial"/>
          <w:color w:val="000000"/>
          <w:lang w:val="es-ES_tradnl" w:eastAsia="es-CR"/>
        </w:rPr>
        <w:t>La “Norma reglamentaria de los artículos 136 y 137 del Estatuto Orgánico”, aprobada por la Asamblea Institucional Representativa en la Sesión Ordinaria 95-2018, del 03 de octubre de 2018 y publicada en la Gaceta 530, del 22 de octubre de 2018, dispone en los artículos 3, 4 y 14</w:t>
      </w:r>
      <w:r>
        <w:rPr>
          <w:rFonts w:ascii="Arial" w:eastAsia="Cambria" w:hAnsi="Arial"/>
          <w:color w:val="000000"/>
          <w:lang w:val="es-ES_tradnl" w:eastAsia="es-CR"/>
        </w:rPr>
        <w:t>,</w:t>
      </w:r>
      <w:r w:rsidRPr="004208F2">
        <w:rPr>
          <w:rFonts w:ascii="Arial" w:eastAsia="Cambria" w:hAnsi="Arial"/>
          <w:color w:val="000000"/>
          <w:lang w:val="es-ES_tradnl" w:eastAsia="es-CR"/>
        </w:rPr>
        <w:t xml:space="preserve"> lo siguiente: </w:t>
      </w:r>
    </w:p>
    <w:p w:rsidR="004208F2" w:rsidRPr="004208F2" w:rsidRDefault="004208F2" w:rsidP="004208F2">
      <w:pPr>
        <w:ind w:left="851" w:right="474"/>
        <w:jc w:val="both"/>
        <w:rPr>
          <w:rFonts w:ascii="Arial" w:eastAsia="Cambria" w:hAnsi="Arial"/>
          <w:color w:val="000000"/>
          <w:sz w:val="22"/>
          <w:szCs w:val="22"/>
          <w:lang w:val="es-ES_tradnl" w:eastAsia="es-CR"/>
        </w:rPr>
      </w:pPr>
    </w:p>
    <w:p w:rsidR="004208F2" w:rsidRPr="004208F2" w:rsidRDefault="004208F2" w:rsidP="004208F2">
      <w:pPr>
        <w:ind w:left="851" w:right="474"/>
        <w:jc w:val="both"/>
        <w:rPr>
          <w:rFonts w:ascii="Arial" w:eastAsia="Cambria" w:hAnsi="Arial"/>
          <w:color w:val="000000"/>
          <w:sz w:val="22"/>
          <w:szCs w:val="22"/>
          <w:lang w:val="es-ES_tradnl" w:eastAsia="es-CR"/>
        </w:rPr>
      </w:pPr>
      <w:r w:rsidRPr="004208F2">
        <w:rPr>
          <w:rFonts w:ascii="Arial" w:eastAsia="Cambria" w:hAnsi="Arial"/>
          <w:color w:val="000000"/>
          <w:sz w:val="22"/>
          <w:szCs w:val="22"/>
          <w:lang w:val="es-ES_tradnl" w:eastAsia="es-CR"/>
        </w:rPr>
        <w:t>“…</w:t>
      </w:r>
    </w:p>
    <w:p w:rsidR="004208F2" w:rsidRPr="004208F2" w:rsidRDefault="004208F2" w:rsidP="004208F2">
      <w:pPr>
        <w:ind w:left="851" w:right="474"/>
        <w:jc w:val="both"/>
        <w:rPr>
          <w:rFonts w:ascii="Arial" w:eastAsia="Cambria" w:hAnsi="Arial"/>
          <w:b/>
          <w:i/>
          <w:color w:val="000000"/>
          <w:sz w:val="22"/>
          <w:szCs w:val="22"/>
          <w:lang w:val="es-ES_tradnl" w:eastAsia="es-CR"/>
        </w:rPr>
      </w:pPr>
      <w:r w:rsidRPr="004208F2">
        <w:rPr>
          <w:rFonts w:ascii="Arial" w:eastAsia="Cambria" w:hAnsi="Arial"/>
          <w:b/>
          <w:i/>
          <w:color w:val="000000"/>
          <w:sz w:val="22"/>
          <w:szCs w:val="22"/>
          <w:lang w:val="es-ES_tradnl" w:eastAsia="es-CR"/>
        </w:rPr>
        <w:t>Artículo 3.</w:t>
      </w: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Los recursos ordinarios de revocatoria y apelación se pueden interponer en contra del acto que da inicio a un procedimiento, el que deniega la comparecencia o la prueba ofrecida y contra el acto final.</w:t>
      </w:r>
    </w:p>
    <w:p w:rsidR="004208F2" w:rsidRPr="004208F2" w:rsidRDefault="004208F2" w:rsidP="004208F2">
      <w:pPr>
        <w:ind w:left="851" w:right="474"/>
        <w:jc w:val="both"/>
        <w:rPr>
          <w:rFonts w:ascii="Arial" w:eastAsia="Cambria" w:hAnsi="Arial"/>
          <w:i/>
          <w:color w:val="000000"/>
          <w:sz w:val="22"/>
          <w:szCs w:val="22"/>
          <w:lang w:val="es-ES_tradnl" w:eastAsia="es-CR"/>
        </w:rPr>
      </w:pP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El recurso de revocatoria tiene el objetivo de lograr que el mismo órgano que dictó un acuerdo o resolución, reconsidere su decisión a partir de los argumentos que presenta el recurrente. Y sin incorporar argumentos o elementos valorativos que no habían sido incorporados en la resolución original.</w:t>
      </w:r>
    </w:p>
    <w:p w:rsidR="004208F2" w:rsidRPr="004208F2" w:rsidRDefault="004208F2" w:rsidP="004208F2">
      <w:pPr>
        <w:ind w:left="851" w:right="474"/>
        <w:jc w:val="both"/>
        <w:rPr>
          <w:rFonts w:ascii="Arial" w:eastAsia="Cambria" w:hAnsi="Arial"/>
          <w:i/>
          <w:color w:val="000000"/>
          <w:sz w:val="22"/>
          <w:szCs w:val="22"/>
          <w:lang w:val="es-ES_tradnl" w:eastAsia="es-CR"/>
        </w:rPr>
      </w:pP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El recurso de apelación persigue que el superior jerárquico del órgano que dictó la resolución o el acuerdo recurrido lo revise, considerando los argumentos del recurrente y resuelva si confirma total o parcialmente la decisión del órgano inferior o por encontrar que no se ajusta a derecho, la revoca y la sustituye con una decisión distinta.</w:t>
      </w:r>
    </w:p>
    <w:p w:rsidR="004208F2" w:rsidRPr="004208F2" w:rsidRDefault="004208F2" w:rsidP="004208F2">
      <w:pPr>
        <w:ind w:left="851" w:right="474"/>
        <w:jc w:val="both"/>
        <w:rPr>
          <w:rFonts w:ascii="Arial" w:eastAsia="Cambria" w:hAnsi="Arial"/>
          <w:i/>
          <w:color w:val="000000"/>
          <w:sz w:val="22"/>
          <w:szCs w:val="22"/>
          <w:lang w:val="es-ES_tradnl" w:eastAsia="es-CR"/>
        </w:rPr>
      </w:pP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Es potestativo del recurrente interponer ambos recursos o uno solo de ellos, sin que puedan las autoridades recurridas desestimar o rechazar un recurso porque el recurrente no haya interpuesto el recurso previo.</w:t>
      </w:r>
    </w:p>
    <w:p w:rsidR="004208F2" w:rsidRPr="004208F2" w:rsidRDefault="004208F2" w:rsidP="004208F2">
      <w:pPr>
        <w:ind w:right="474"/>
        <w:jc w:val="both"/>
        <w:rPr>
          <w:rFonts w:ascii="Arial" w:eastAsia="Cambria" w:hAnsi="Arial"/>
          <w:i/>
          <w:color w:val="000000"/>
          <w:sz w:val="22"/>
          <w:szCs w:val="22"/>
          <w:lang w:val="es-ES_tradnl" w:eastAsia="es-CR"/>
        </w:rPr>
      </w:pPr>
    </w:p>
    <w:p w:rsidR="004208F2" w:rsidRPr="004208F2" w:rsidRDefault="004208F2" w:rsidP="004208F2">
      <w:pPr>
        <w:ind w:left="851" w:right="474"/>
        <w:jc w:val="both"/>
        <w:rPr>
          <w:rFonts w:ascii="Arial" w:eastAsia="Cambria" w:hAnsi="Arial"/>
          <w:b/>
          <w:i/>
          <w:color w:val="000000"/>
          <w:sz w:val="22"/>
          <w:szCs w:val="22"/>
          <w:lang w:val="es-ES_tradnl" w:eastAsia="es-CR"/>
        </w:rPr>
      </w:pPr>
      <w:r w:rsidRPr="004208F2">
        <w:rPr>
          <w:rFonts w:ascii="Arial" w:eastAsia="Cambria" w:hAnsi="Arial"/>
          <w:b/>
          <w:i/>
          <w:color w:val="000000"/>
          <w:sz w:val="22"/>
          <w:szCs w:val="22"/>
          <w:lang w:val="es-ES_tradnl" w:eastAsia="es-CR"/>
        </w:rPr>
        <w:t>Artículo 4.</w:t>
      </w: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Los recursos no deben cumplir con ninguna formalidad, pero deben presentarse por escrito de manera digital o física, identificando el acuerdo o la resolución que se recurre, indicando los motivos de la inconformidad, además del nombre y firma de quien lo interpone y el lugar para recibir notificaciones. En ningún caso se pueden interponer recursos de manera anónima.”</w:t>
      </w:r>
    </w:p>
    <w:p w:rsidR="004208F2" w:rsidRDefault="004208F2" w:rsidP="004208F2">
      <w:pPr>
        <w:ind w:left="851" w:right="474"/>
        <w:jc w:val="both"/>
        <w:rPr>
          <w:rFonts w:ascii="Arial" w:eastAsia="Cambria" w:hAnsi="Arial"/>
          <w:i/>
          <w:color w:val="000000"/>
          <w:sz w:val="22"/>
          <w:szCs w:val="22"/>
          <w:lang w:val="es-ES_tradnl" w:eastAsia="es-CR"/>
        </w:rPr>
      </w:pPr>
    </w:p>
    <w:p w:rsidR="00765A48" w:rsidRDefault="00765A48" w:rsidP="004208F2">
      <w:pPr>
        <w:ind w:left="851" w:right="474"/>
        <w:jc w:val="both"/>
        <w:rPr>
          <w:rFonts w:ascii="Arial" w:eastAsia="Cambria" w:hAnsi="Arial"/>
          <w:i/>
          <w:color w:val="000000"/>
          <w:sz w:val="22"/>
          <w:szCs w:val="22"/>
          <w:lang w:val="es-ES_tradnl" w:eastAsia="es-CR"/>
        </w:rPr>
      </w:pPr>
    </w:p>
    <w:p w:rsidR="00765A48" w:rsidRDefault="00765A48" w:rsidP="004208F2">
      <w:pPr>
        <w:ind w:left="851" w:right="474"/>
        <w:jc w:val="both"/>
        <w:rPr>
          <w:rFonts w:ascii="Arial" w:eastAsia="Cambria" w:hAnsi="Arial"/>
          <w:i/>
          <w:color w:val="000000"/>
          <w:sz w:val="22"/>
          <w:szCs w:val="22"/>
          <w:lang w:val="es-ES_tradnl" w:eastAsia="es-CR"/>
        </w:rPr>
      </w:pPr>
    </w:p>
    <w:p w:rsidR="00765A48" w:rsidRPr="004208F2" w:rsidRDefault="00765A48" w:rsidP="004208F2">
      <w:pPr>
        <w:ind w:left="851" w:right="474"/>
        <w:jc w:val="both"/>
        <w:rPr>
          <w:rFonts w:ascii="Arial" w:eastAsia="Cambria" w:hAnsi="Arial"/>
          <w:i/>
          <w:color w:val="000000"/>
          <w:sz w:val="22"/>
          <w:szCs w:val="22"/>
          <w:lang w:val="es-ES_tradnl" w:eastAsia="es-CR"/>
        </w:rPr>
      </w:pPr>
    </w:p>
    <w:p w:rsidR="004208F2" w:rsidRPr="004208F2" w:rsidRDefault="004208F2" w:rsidP="004208F2">
      <w:pPr>
        <w:ind w:left="851" w:right="474"/>
        <w:jc w:val="both"/>
        <w:rPr>
          <w:rFonts w:ascii="Arial" w:eastAsia="Cambria" w:hAnsi="Arial"/>
          <w:i/>
          <w:color w:val="000000"/>
          <w:sz w:val="22"/>
          <w:szCs w:val="22"/>
          <w:lang w:eastAsia="es-CR"/>
        </w:rPr>
      </w:pPr>
      <w:r w:rsidRPr="004208F2">
        <w:rPr>
          <w:rFonts w:ascii="Arial" w:eastAsia="Cambria" w:hAnsi="Arial"/>
          <w:i/>
          <w:color w:val="000000"/>
          <w:sz w:val="22"/>
          <w:szCs w:val="22"/>
          <w:lang w:val="es-ES_tradnl" w:eastAsia="es-CR"/>
        </w:rPr>
        <w:t>“…</w:t>
      </w:r>
    </w:p>
    <w:p w:rsidR="004208F2" w:rsidRPr="004208F2" w:rsidRDefault="004208F2" w:rsidP="004208F2">
      <w:pPr>
        <w:ind w:left="851" w:right="474"/>
        <w:jc w:val="both"/>
        <w:rPr>
          <w:rFonts w:ascii="Arial" w:eastAsia="Cambria" w:hAnsi="Arial"/>
          <w:b/>
          <w:i/>
          <w:color w:val="000000"/>
          <w:sz w:val="22"/>
          <w:szCs w:val="22"/>
          <w:lang w:val="es-ES_tradnl" w:eastAsia="es-CR"/>
        </w:rPr>
      </w:pPr>
      <w:r w:rsidRPr="004208F2">
        <w:rPr>
          <w:rFonts w:ascii="Arial" w:eastAsia="Cambria" w:hAnsi="Arial"/>
          <w:b/>
          <w:i/>
          <w:color w:val="000000"/>
          <w:sz w:val="22"/>
          <w:szCs w:val="22"/>
          <w:lang w:val="es-ES_tradnl" w:eastAsia="es-CR"/>
        </w:rPr>
        <w:t>Artículo 14.</w:t>
      </w: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La interposición de recursos no suspende los efectos del acuerdo o resolución tomada, los cuales mantienen su ejecutoriedad, salvo cuando la ejecución del acto impugnado pueda causar grave daño de difícil o imposible reparación a las partes.</w:t>
      </w:r>
      <w:r w:rsidR="00765A48">
        <w:rPr>
          <w:rFonts w:ascii="Arial" w:eastAsia="Cambria" w:hAnsi="Arial"/>
          <w:i/>
          <w:color w:val="000000"/>
          <w:sz w:val="22"/>
          <w:szCs w:val="22"/>
          <w:lang w:val="es-ES_tradnl" w:eastAsia="es-CR"/>
        </w:rPr>
        <w:t xml:space="preserve">  </w:t>
      </w:r>
      <w:r w:rsidRPr="004208F2">
        <w:rPr>
          <w:rFonts w:ascii="Arial" w:eastAsia="Cambria" w:hAnsi="Arial"/>
          <w:i/>
          <w:color w:val="000000"/>
          <w:sz w:val="22"/>
          <w:szCs w:val="22"/>
          <w:lang w:val="es-ES_tradnl" w:eastAsia="es-CR"/>
        </w:rPr>
        <w:t xml:space="preserve"> </w:t>
      </w:r>
      <w:proofErr w:type="gramStart"/>
      <w:r w:rsidR="00765A48">
        <w:rPr>
          <w:rFonts w:ascii="Arial" w:eastAsia="Cambria" w:hAnsi="Arial"/>
          <w:i/>
          <w:color w:val="000000"/>
          <w:sz w:val="22"/>
          <w:szCs w:val="22"/>
          <w:lang w:val="es-ES_tradnl" w:eastAsia="es-CR"/>
        </w:rPr>
        <w:t>E</w:t>
      </w:r>
      <w:r w:rsidRPr="004208F2">
        <w:rPr>
          <w:rFonts w:ascii="Arial" w:eastAsia="Cambria" w:hAnsi="Arial"/>
          <w:i/>
          <w:color w:val="000000"/>
          <w:sz w:val="22"/>
          <w:szCs w:val="22"/>
          <w:lang w:val="es-ES_tradnl" w:eastAsia="es-CR"/>
        </w:rPr>
        <w:t xml:space="preserve">n </w:t>
      </w:r>
      <w:r w:rsidR="00765A48">
        <w:rPr>
          <w:rFonts w:ascii="Arial" w:eastAsia="Cambria" w:hAnsi="Arial"/>
          <w:i/>
          <w:color w:val="000000"/>
          <w:sz w:val="22"/>
          <w:szCs w:val="22"/>
          <w:lang w:val="es-ES_tradnl" w:eastAsia="es-CR"/>
        </w:rPr>
        <w:t xml:space="preserve"> </w:t>
      </w:r>
      <w:r w:rsidRPr="004208F2">
        <w:rPr>
          <w:rFonts w:ascii="Arial" w:eastAsia="Cambria" w:hAnsi="Arial"/>
          <w:i/>
          <w:color w:val="000000"/>
          <w:sz w:val="22"/>
          <w:szCs w:val="22"/>
          <w:lang w:val="es-ES_tradnl" w:eastAsia="es-CR"/>
        </w:rPr>
        <w:t>ese</w:t>
      </w:r>
      <w:proofErr w:type="gramEnd"/>
      <w:r w:rsidRPr="004208F2">
        <w:rPr>
          <w:rFonts w:ascii="Arial" w:eastAsia="Cambria" w:hAnsi="Arial"/>
          <w:i/>
          <w:color w:val="000000"/>
          <w:sz w:val="22"/>
          <w:szCs w:val="22"/>
          <w:lang w:val="es-ES_tradnl" w:eastAsia="es-CR"/>
        </w:rPr>
        <w:t xml:space="preserve"> </w:t>
      </w:r>
      <w:r w:rsidR="00765A48">
        <w:rPr>
          <w:rFonts w:ascii="Arial" w:eastAsia="Cambria" w:hAnsi="Arial"/>
          <w:i/>
          <w:color w:val="000000"/>
          <w:sz w:val="22"/>
          <w:szCs w:val="22"/>
          <w:lang w:val="es-ES_tradnl" w:eastAsia="es-CR"/>
        </w:rPr>
        <w:t xml:space="preserve"> </w:t>
      </w:r>
      <w:r w:rsidRPr="004208F2">
        <w:rPr>
          <w:rFonts w:ascii="Arial" w:eastAsia="Cambria" w:hAnsi="Arial"/>
          <w:i/>
          <w:color w:val="000000"/>
          <w:sz w:val="22"/>
          <w:szCs w:val="22"/>
          <w:lang w:val="es-ES_tradnl" w:eastAsia="es-CR"/>
        </w:rPr>
        <w:t>caso,</w:t>
      </w:r>
      <w:r w:rsidR="00765A48">
        <w:rPr>
          <w:rFonts w:ascii="Arial" w:eastAsia="Cambria" w:hAnsi="Arial"/>
          <w:i/>
          <w:color w:val="000000"/>
          <w:sz w:val="22"/>
          <w:szCs w:val="22"/>
          <w:lang w:val="es-ES_tradnl" w:eastAsia="es-CR"/>
        </w:rPr>
        <w:t xml:space="preserve"> </w:t>
      </w:r>
      <w:r w:rsidRPr="004208F2">
        <w:rPr>
          <w:rFonts w:ascii="Arial" w:eastAsia="Cambria" w:hAnsi="Arial"/>
          <w:i/>
          <w:color w:val="000000"/>
          <w:sz w:val="22"/>
          <w:szCs w:val="22"/>
          <w:lang w:val="es-ES_tradnl" w:eastAsia="es-CR"/>
        </w:rPr>
        <w:t xml:space="preserve"> el </w:t>
      </w:r>
      <w:r w:rsidR="00765A48">
        <w:rPr>
          <w:rFonts w:ascii="Arial" w:eastAsia="Cambria" w:hAnsi="Arial"/>
          <w:i/>
          <w:color w:val="000000"/>
          <w:sz w:val="22"/>
          <w:szCs w:val="22"/>
          <w:lang w:val="es-ES_tradnl" w:eastAsia="es-CR"/>
        </w:rPr>
        <w:t xml:space="preserve"> </w:t>
      </w:r>
      <w:r w:rsidRPr="004208F2">
        <w:rPr>
          <w:rFonts w:ascii="Arial" w:eastAsia="Cambria" w:hAnsi="Arial"/>
          <w:i/>
          <w:color w:val="000000"/>
          <w:sz w:val="22"/>
          <w:szCs w:val="22"/>
          <w:lang w:val="es-ES_tradnl" w:eastAsia="es-CR"/>
        </w:rPr>
        <w:t>superior</w:t>
      </w:r>
      <w:r w:rsidR="00765A48">
        <w:rPr>
          <w:rFonts w:ascii="Arial" w:eastAsia="Cambria" w:hAnsi="Arial"/>
          <w:i/>
          <w:color w:val="000000"/>
          <w:sz w:val="22"/>
          <w:szCs w:val="22"/>
          <w:lang w:val="es-ES_tradnl" w:eastAsia="es-CR"/>
        </w:rPr>
        <w:t xml:space="preserve"> </w:t>
      </w:r>
      <w:r w:rsidRPr="004208F2">
        <w:rPr>
          <w:rFonts w:ascii="Arial" w:eastAsia="Cambria" w:hAnsi="Arial"/>
          <w:i/>
          <w:color w:val="000000"/>
          <w:sz w:val="22"/>
          <w:szCs w:val="22"/>
          <w:lang w:val="es-ES_tradnl" w:eastAsia="es-CR"/>
        </w:rPr>
        <w:t xml:space="preserve"> jerárquico </w:t>
      </w:r>
      <w:r w:rsidR="00765A48">
        <w:rPr>
          <w:rFonts w:ascii="Arial" w:eastAsia="Cambria" w:hAnsi="Arial"/>
          <w:i/>
          <w:color w:val="000000"/>
          <w:sz w:val="22"/>
          <w:szCs w:val="22"/>
          <w:lang w:val="es-ES_tradnl" w:eastAsia="es-CR"/>
        </w:rPr>
        <w:t xml:space="preserve"> </w:t>
      </w:r>
      <w:r w:rsidRPr="004208F2">
        <w:rPr>
          <w:rFonts w:ascii="Arial" w:eastAsia="Cambria" w:hAnsi="Arial"/>
          <w:i/>
          <w:color w:val="000000"/>
          <w:sz w:val="22"/>
          <w:szCs w:val="22"/>
          <w:lang w:val="es-ES_tradnl" w:eastAsia="es-CR"/>
        </w:rPr>
        <w:t xml:space="preserve">puede </w:t>
      </w:r>
      <w:r w:rsidR="00765A48">
        <w:rPr>
          <w:rFonts w:ascii="Arial" w:eastAsia="Cambria" w:hAnsi="Arial"/>
          <w:i/>
          <w:color w:val="000000"/>
          <w:sz w:val="22"/>
          <w:szCs w:val="22"/>
          <w:lang w:val="es-ES_tradnl" w:eastAsia="es-CR"/>
        </w:rPr>
        <w:t xml:space="preserve"> </w:t>
      </w:r>
      <w:r w:rsidRPr="004208F2">
        <w:rPr>
          <w:rFonts w:ascii="Arial" w:eastAsia="Cambria" w:hAnsi="Arial"/>
          <w:i/>
          <w:color w:val="000000"/>
          <w:sz w:val="22"/>
          <w:szCs w:val="22"/>
          <w:lang w:val="es-ES_tradnl" w:eastAsia="es-CR"/>
        </w:rPr>
        <w:t xml:space="preserve">ordenar </w:t>
      </w:r>
      <w:r w:rsidR="00765A48">
        <w:rPr>
          <w:rFonts w:ascii="Arial" w:eastAsia="Cambria" w:hAnsi="Arial"/>
          <w:i/>
          <w:color w:val="000000"/>
          <w:sz w:val="22"/>
          <w:szCs w:val="22"/>
          <w:lang w:val="es-ES_tradnl" w:eastAsia="es-CR"/>
        </w:rPr>
        <w:t xml:space="preserve"> </w:t>
      </w:r>
      <w:r w:rsidRPr="004208F2">
        <w:rPr>
          <w:rFonts w:ascii="Arial" w:eastAsia="Cambria" w:hAnsi="Arial"/>
          <w:i/>
          <w:color w:val="000000"/>
          <w:sz w:val="22"/>
          <w:szCs w:val="22"/>
          <w:lang w:val="es-ES_tradnl" w:eastAsia="es-CR"/>
        </w:rPr>
        <w:t xml:space="preserve">de </w:t>
      </w:r>
      <w:r w:rsidR="00765A48">
        <w:rPr>
          <w:rFonts w:ascii="Arial" w:eastAsia="Cambria" w:hAnsi="Arial"/>
          <w:i/>
          <w:color w:val="000000"/>
          <w:sz w:val="22"/>
          <w:szCs w:val="22"/>
          <w:lang w:val="es-ES_tradnl" w:eastAsia="es-CR"/>
        </w:rPr>
        <w:t xml:space="preserve">  </w:t>
      </w:r>
      <w:r w:rsidRPr="004208F2">
        <w:rPr>
          <w:rFonts w:ascii="Arial" w:eastAsia="Cambria" w:hAnsi="Arial"/>
          <w:i/>
          <w:color w:val="000000"/>
          <w:sz w:val="22"/>
          <w:szCs w:val="22"/>
          <w:lang w:val="es-ES_tradnl" w:eastAsia="es-CR"/>
        </w:rPr>
        <w:t>manera extraordinaria y fundamentada, la sus-pensión de la ejecución del acto administrativo hasta tanto se resuelvan los recursos interpuestos.”</w:t>
      </w:r>
    </w:p>
    <w:p w:rsidR="004208F2" w:rsidRPr="004208F2" w:rsidRDefault="004208F2" w:rsidP="004208F2">
      <w:pPr>
        <w:ind w:right="474"/>
        <w:jc w:val="both"/>
        <w:rPr>
          <w:rFonts w:ascii="Arial" w:eastAsia="Cambria" w:hAnsi="Arial"/>
          <w:i/>
          <w:color w:val="000000"/>
          <w:sz w:val="22"/>
          <w:szCs w:val="22"/>
          <w:lang w:val="es-ES_tradnl" w:eastAsia="es-CR"/>
        </w:rPr>
      </w:pPr>
    </w:p>
    <w:p w:rsidR="004208F2" w:rsidRPr="004208F2" w:rsidRDefault="004208F2" w:rsidP="004208F2">
      <w:pPr>
        <w:numPr>
          <w:ilvl w:val="0"/>
          <w:numId w:val="10"/>
        </w:numPr>
        <w:ind w:left="426" w:hanging="426"/>
        <w:jc w:val="both"/>
        <w:rPr>
          <w:rFonts w:ascii="Arial" w:eastAsia="Cambria" w:hAnsi="Arial"/>
          <w:color w:val="000000"/>
          <w:lang w:val="es-ES_tradnl" w:eastAsia="es-CR"/>
        </w:rPr>
      </w:pPr>
      <w:r w:rsidRPr="004208F2">
        <w:rPr>
          <w:rFonts w:ascii="Arial" w:eastAsia="Cambria" w:hAnsi="Arial"/>
          <w:color w:val="000000"/>
          <w:lang w:val="es-ES_tradnl" w:eastAsia="es-CR"/>
        </w:rPr>
        <w:lastRenderedPageBreak/>
        <w:t>El Reglamento del Consejo Institucional establece, en los artículos 72, 75, 76 y 77,</w:t>
      </w:r>
      <w:r>
        <w:rPr>
          <w:rFonts w:ascii="Arial" w:eastAsia="Cambria" w:hAnsi="Arial"/>
          <w:color w:val="000000"/>
          <w:lang w:val="es-ES_tradnl" w:eastAsia="es-CR"/>
        </w:rPr>
        <w:t xml:space="preserve"> dice</w:t>
      </w:r>
      <w:r w:rsidRPr="004208F2">
        <w:rPr>
          <w:rFonts w:ascii="Arial" w:eastAsia="Cambria" w:hAnsi="Arial"/>
          <w:color w:val="000000"/>
          <w:lang w:val="es-ES_tradnl" w:eastAsia="es-CR"/>
        </w:rPr>
        <w:t>:</w:t>
      </w:r>
    </w:p>
    <w:p w:rsidR="004208F2" w:rsidRPr="004208F2" w:rsidRDefault="004208F2" w:rsidP="004208F2">
      <w:pPr>
        <w:jc w:val="both"/>
        <w:rPr>
          <w:rFonts w:ascii="Arial" w:eastAsia="Cambria" w:hAnsi="Arial"/>
          <w:color w:val="000000"/>
          <w:lang w:val="es-ES_tradnl" w:eastAsia="es-CR"/>
        </w:rPr>
      </w:pP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w:t>
      </w: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 xml:space="preserve">Artículo 72 </w:t>
      </w: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Contra los actos y resoluciones del Consejo Institucional podrán establecerse los recursos ordinarios de revocatoria y apelación, salvo los asuntos en materia de contratación administrativa.”</w:t>
      </w:r>
    </w:p>
    <w:p w:rsidR="004208F2" w:rsidRPr="004208F2" w:rsidRDefault="004208F2" w:rsidP="004208F2">
      <w:pPr>
        <w:ind w:left="851" w:right="474"/>
        <w:jc w:val="both"/>
        <w:rPr>
          <w:rFonts w:ascii="Arial" w:eastAsia="Cambria" w:hAnsi="Arial"/>
          <w:i/>
          <w:color w:val="000000"/>
          <w:sz w:val="22"/>
          <w:szCs w:val="22"/>
          <w:lang w:val="es-ES_tradnl" w:eastAsia="es-CR"/>
        </w:rPr>
      </w:pP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w:t>
      </w: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 xml:space="preserve">Artículo 75 </w:t>
      </w: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Si el Consejo Institucional rechazase un recurso de revocatoria, podrá apelarse ante la Asamblea Institucional Representativa, la cual podrá enmendar o revocar la resolución únicamente en el aspecto objeto de la apelación, de conformidad con las disposiciones del Estatuto Orgánico y el Reglamento de la Asamblea Institucional Representativa.</w:t>
      </w:r>
    </w:p>
    <w:p w:rsidR="004208F2" w:rsidRPr="004208F2" w:rsidRDefault="004208F2" w:rsidP="004208F2">
      <w:pPr>
        <w:ind w:left="851" w:right="474"/>
        <w:jc w:val="both"/>
        <w:rPr>
          <w:rFonts w:ascii="Arial" w:eastAsia="Cambria" w:hAnsi="Arial"/>
          <w:i/>
          <w:color w:val="000000"/>
          <w:sz w:val="22"/>
          <w:szCs w:val="22"/>
          <w:lang w:val="es-ES_tradnl" w:eastAsia="es-CR"/>
        </w:rPr>
      </w:pP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 xml:space="preserve">Artículo 76 </w:t>
      </w: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El recurso de revocatoria podrá presentarse solo o conjuntamente con el de apelación dentro de los cinco días hábiles siguientes al de la comunicación formal o notificación del acuerdo. Los mismos deberán presentarse ante la Secretaría Ejecutiva del Consejo Institucional, la cual impondrá el sello de recibido conforme.</w:t>
      </w:r>
      <w:r w:rsidRPr="004208F2">
        <w:rPr>
          <w:rFonts w:ascii="Arial" w:eastAsia="Cambria" w:hAnsi="Arial"/>
          <w:i/>
          <w:color w:val="000000"/>
          <w:sz w:val="22"/>
          <w:szCs w:val="22"/>
          <w:lang w:val="es-ES_tradnl" w:eastAsia="es-CR"/>
        </w:rPr>
        <w:br/>
      </w: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 xml:space="preserve">El recurso de revocatoria lo conocerá el Consejo Institucional, en dos sesiones ordinarias sucesivas, o bien, en dos sesiones extraordinarias sucesivas que se convoquen al efecto; dentro de un plazo máximo de 20 días hábiles. </w:t>
      </w:r>
      <w:r w:rsidRPr="004208F2">
        <w:rPr>
          <w:rFonts w:ascii="Arial" w:eastAsia="Cambria" w:hAnsi="Arial"/>
          <w:i/>
          <w:color w:val="000000"/>
          <w:sz w:val="22"/>
          <w:szCs w:val="22"/>
          <w:lang w:val="es-ES_tradnl" w:eastAsia="es-CR"/>
        </w:rPr>
        <w:br/>
      </w: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Transcurrido ese plazo, sin que el Consejo Institucional haya resuelto sobre los recursos presentados, se entenderá que la revocatoria fue admitida positivamente, por lo que el acuerdo impugnado debe modificarse conforme la gestión presentada, sin necesidad de que el asunto pase a conocimiento del superior, salvo que la reforma del acuerdo sea contraria a la ley, a la costumbre y a los principios generales de derecho, en cuyo caso correrá nuevo e igual término para ser impugnado, por apelación directa ante la Asamblea Institucional Representativa, la que agotará la vía administrativa.</w:t>
      </w:r>
    </w:p>
    <w:p w:rsidR="004208F2" w:rsidRPr="004208F2" w:rsidRDefault="004208F2" w:rsidP="004208F2">
      <w:pPr>
        <w:ind w:left="851" w:right="474"/>
        <w:jc w:val="both"/>
        <w:rPr>
          <w:rFonts w:ascii="Arial" w:eastAsia="Cambria" w:hAnsi="Arial"/>
          <w:i/>
          <w:color w:val="000000"/>
          <w:sz w:val="22"/>
          <w:szCs w:val="22"/>
          <w:lang w:val="es-ES_tradnl" w:eastAsia="es-CR"/>
        </w:rPr>
      </w:pPr>
    </w:p>
    <w:p w:rsidR="004208F2" w:rsidRPr="004208F2" w:rsidRDefault="004208F2" w:rsidP="004208F2">
      <w:pPr>
        <w:ind w:left="851" w:right="474"/>
        <w:jc w:val="both"/>
        <w:rPr>
          <w:rFonts w:ascii="Arial" w:eastAsia="Cambria" w:hAnsi="Arial"/>
          <w:i/>
          <w:color w:val="000000"/>
          <w:sz w:val="22"/>
          <w:szCs w:val="22"/>
          <w:lang w:val="es-ES_tradnl" w:eastAsia="es-CR"/>
        </w:rPr>
      </w:pPr>
      <w:r w:rsidRPr="004208F2">
        <w:rPr>
          <w:rFonts w:ascii="Arial" w:eastAsia="Cambria" w:hAnsi="Arial"/>
          <w:i/>
          <w:color w:val="000000"/>
          <w:sz w:val="22"/>
          <w:szCs w:val="22"/>
          <w:lang w:val="es-ES_tradnl" w:eastAsia="es-CR"/>
        </w:rPr>
        <w:t xml:space="preserve">Artículo 77 </w:t>
      </w:r>
    </w:p>
    <w:p w:rsidR="004208F2" w:rsidRPr="004208F2" w:rsidRDefault="004208F2" w:rsidP="004208F2">
      <w:pPr>
        <w:ind w:left="851" w:right="474"/>
        <w:jc w:val="both"/>
        <w:rPr>
          <w:rFonts w:ascii="Arial" w:eastAsia="Cambria" w:hAnsi="Arial"/>
          <w:color w:val="000000"/>
          <w:sz w:val="22"/>
          <w:szCs w:val="22"/>
          <w:lang w:val="es-ES_tradnl" w:eastAsia="es-CR"/>
        </w:rPr>
      </w:pPr>
      <w:r w:rsidRPr="004208F2">
        <w:rPr>
          <w:rFonts w:ascii="Arial" w:eastAsia="Cambria" w:hAnsi="Arial"/>
          <w:i/>
          <w:color w:val="000000"/>
          <w:sz w:val="22"/>
          <w:szCs w:val="22"/>
          <w:lang w:val="es-ES_tradnl" w:eastAsia="es-CR"/>
        </w:rPr>
        <w:t>Si se interponen ambos recursos a la vez, se tramitará la apelación una vez declarada sin lugar la revocatoria, en este caso el Consejo Institucional emplazará a las partes ante la Asamblea Institucional Representativa, y remitirá el expediente respectivo. El término del emplazamiento no será inferior a cinco días hábiles.”</w:t>
      </w:r>
    </w:p>
    <w:p w:rsidR="004208F2" w:rsidRPr="004208F2" w:rsidRDefault="004208F2" w:rsidP="004208F2">
      <w:pPr>
        <w:jc w:val="both"/>
        <w:rPr>
          <w:rFonts w:ascii="Arial" w:eastAsia="Cambria" w:hAnsi="Arial" w:cs="Arial"/>
          <w:color w:val="000000"/>
          <w:sz w:val="22"/>
          <w:szCs w:val="22"/>
          <w:lang w:val="es-ES_tradnl" w:eastAsia="es-CR"/>
        </w:rPr>
      </w:pPr>
    </w:p>
    <w:p w:rsidR="007C1C18" w:rsidRDefault="007C1C18" w:rsidP="004208F2">
      <w:pPr>
        <w:jc w:val="both"/>
        <w:rPr>
          <w:rFonts w:ascii="Arial" w:eastAsia="Cambria" w:hAnsi="Arial"/>
          <w:b/>
          <w:color w:val="000000"/>
          <w:lang w:val="es-ES_tradnl" w:eastAsia="es-CR"/>
        </w:rPr>
      </w:pPr>
      <w:bookmarkStart w:id="0" w:name="_heading=h.30j0zll" w:colFirst="0" w:colLast="0"/>
      <w:bookmarkEnd w:id="0"/>
    </w:p>
    <w:p w:rsidR="004208F2" w:rsidRPr="004208F2" w:rsidRDefault="004208F2" w:rsidP="004208F2">
      <w:pPr>
        <w:jc w:val="both"/>
        <w:rPr>
          <w:rFonts w:ascii="Arial" w:eastAsia="Cambria" w:hAnsi="Arial"/>
          <w:b/>
          <w:color w:val="000000"/>
          <w:lang w:val="es-ES_tradnl" w:eastAsia="es-CR"/>
        </w:rPr>
      </w:pPr>
      <w:bookmarkStart w:id="1" w:name="_GoBack"/>
      <w:bookmarkEnd w:id="1"/>
      <w:r w:rsidRPr="004208F2">
        <w:rPr>
          <w:rFonts w:ascii="Arial" w:eastAsia="Cambria" w:hAnsi="Arial"/>
          <w:b/>
          <w:color w:val="000000"/>
          <w:lang w:val="es-ES_tradnl" w:eastAsia="es-CR"/>
        </w:rPr>
        <w:t>CONSIDERANDO QUE:</w:t>
      </w:r>
    </w:p>
    <w:p w:rsidR="004208F2" w:rsidRPr="004208F2" w:rsidRDefault="004208F2" w:rsidP="004208F2">
      <w:pPr>
        <w:jc w:val="both"/>
        <w:rPr>
          <w:rFonts w:ascii="Arial" w:eastAsia="Cambria" w:hAnsi="Arial"/>
          <w:color w:val="000000"/>
          <w:lang w:val="es-ES_tradnl" w:eastAsia="es-CR"/>
        </w:rPr>
      </w:pPr>
    </w:p>
    <w:p w:rsidR="004208F2" w:rsidRPr="004208F2" w:rsidRDefault="004208F2" w:rsidP="004208F2">
      <w:pPr>
        <w:pStyle w:val="Prrafodelista"/>
        <w:numPr>
          <w:ilvl w:val="0"/>
          <w:numId w:val="15"/>
        </w:numPr>
        <w:ind w:left="567" w:hanging="425"/>
        <w:jc w:val="both"/>
        <w:rPr>
          <w:rFonts w:ascii="Arial" w:eastAsia="Cambria" w:hAnsi="Arial"/>
          <w:color w:val="000000"/>
          <w:lang w:val="es-ES_tradnl" w:eastAsia="es-CR"/>
        </w:rPr>
      </w:pPr>
      <w:bookmarkStart w:id="2" w:name="_heading=h.jsscf2xs47ez" w:colFirst="0" w:colLast="0"/>
      <w:bookmarkEnd w:id="2"/>
      <w:r w:rsidRPr="004208F2">
        <w:rPr>
          <w:rFonts w:ascii="Arial" w:eastAsia="Cambria" w:hAnsi="Arial"/>
          <w:color w:val="000000"/>
          <w:lang w:val="es-ES_tradnl" w:eastAsia="es-CR"/>
        </w:rPr>
        <w:t>El recurso de revocatoria con apelación en subsidio ante la Asamblea Institucional Representativa, presentado el 07 de noviembre de 2019 por el Lic. José Luis Cerdas Sánchez, en contra del acuerdo Sesión Ordinaria No. 3145, Artículo 14, fue recibido dentro del plazo que dicta la normativa vigente y, por tanto, procede que el Consejo Institucional se aboque a su estudio por el fondo.</w:t>
      </w:r>
    </w:p>
    <w:p w:rsidR="004208F2" w:rsidRPr="004208F2" w:rsidRDefault="004208F2" w:rsidP="004208F2">
      <w:pPr>
        <w:jc w:val="both"/>
        <w:rPr>
          <w:rFonts w:ascii="Arial" w:eastAsia="Cambria" w:hAnsi="Arial"/>
          <w:color w:val="000000"/>
          <w:lang w:val="es-ES_tradnl" w:eastAsia="es-CR"/>
        </w:rPr>
      </w:pPr>
    </w:p>
    <w:p w:rsidR="004208F2" w:rsidRPr="004208F2" w:rsidRDefault="004208F2" w:rsidP="004208F2">
      <w:pPr>
        <w:pStyle w:val="Prrafodelista"/>
        <w:numPr>
          <w:ilvl w:val="0"/>
          <w:numId w:val="15"/>
        </w:numPr>
        <w:ind w:left="567" w:hanging="425"/>
        <w:jc w:val="both"/>
        <w:rPr>
          <w:rFonts w:eastAsia="Calibri"/>
          <w:color w:val="000000"/>
          <w:lang w:val="es-CR"/>
        </w:rPr>
      </w:pPr>
      <w:r w:rsidRPr="004208F2">
        <w:rPr>
          <w:rFonts w:ascii="Arial" w:eastAsia="Cambria" w:hAnsi="Arial"/>
          <w:color w:val="000000"/>
          <w:lang w:val="es-ES_tradnl" w:eastAsia="es-CR"/>
        </w:rPr>
        <w:t>El recurso presentado por el Lic. José Luis Cerdas Sánchez identifica claramente el acuerdo impugnado, señala los motivos de la inconformidad, indica el nombre del recurrente y presenta su firma, por lo que se ajusta a lo establecido en el artículo 4 de la “Norma reglamentaria de los artículos 136 y 137 del Estatuto Orgánico”.</w:t>
      </w:r>
    </w:p>
    <w:p w:rsidR="004208F2" w:rsidRPr="004208F2" w:rsidRDefault="004208F2" w:rsidP="004208F2">
      <w:pPr>
        <w:jc w:val="both"/>
        <w:rPr>
          <w:rFonts w:ascii="Arial" w:eastAsia="Cambria" w:hAnsi="Arial"/>
          <w:color w:val="000000"/>
          <w:lang w:val="es-ES_tradnl" w:eastAsia="es-CR"/>
        </w:rPr>
      </w:pPr>
    </w:p>
    <w:p w:rsidR="004208F2" w:rsidRPr="004208F2" w:rsidRDefault="004208F2" w:rsidP="004208F2">
      <w:pPr>
        <w:jc w:val="both"/>
        <w:rPr>
          <w:rFonts w:ascii="Arial" w:eastAsia="Cambria" w:hAnsi="Arial"/>
          <w:b/>
          <w:color w:val="000000"/>
          <w:lang w:val="es-ES_tradnl" w:eastAsia="es-CR"/>
        </w:rPr>
      </w:pPr>
      <w:bookmarkStart w:id="3" w:name="_heading=h.1fob9te" w:colFirst="0" w:colLast="0"/>
      <w:bookmarkEnd w:id="3"/>
      <w:r w:rsidRPr="004208F2">
        <w:rPr>
          <w:rFonts w:ascii="Arial" w:eastAsia="Cambria" w:hAnsi="Arial"/>
          <w:b/>
          <w:color w:val="000000"/>
          <w:lang w:val="es-ES_tradnl" w:eastAsia="es-CR"/>
        </w:rPr>
        <w:t>SE</w:t>
      </w:r>
      <w:r>
        <w:rPr>
          <w:rFonts w:ascii="Arial" w:eastAsia="Cambria" w:hAnsi="Arial"/>
          <w:b/>
          <w:color w:val="000000"/>
          <w:lang w:val="es-ES_tradnl" w:eastAsia="es-CR"/>
        </w:rPr>
        <w:t xml:space="preserve"> ACUERDA</w:t>
      </w:r>
      <w:r w:rsidRPr="004208F2">
        <w:rPr>
          <w:rFonts w:ascii="Arial" w:eastAsia="Cambria" w:hAnsi="Arial"/>
          <w:b/>
          <w:color w:val="000000"/>
          <w:lang w:val="es-ES_tradnl" w:eastAsia="es-CR"/>
        </w:rPr>
        <w:t>:</w:t>
      </w:r>
    </w:p>
    <w:p w:rsidR="004208F2" w:rsidRPr="004208F2" w:rsidRDefault="004208F2" w:rsidP="004208F2">
      <w:pPr>
        <w:ind w:left="426"/>
        <w:jc w:val="both"/>
        <w:rPr>
          <w:rFonts w:ascii="Arial" w:eastAsia="Cambria" w:hAnsi="Arial"/>
          <w:color w:val="000000"/>
          <w:lang w:val="es-ES_tradnl" w:eastAsia="es-CR"/>
        </w:rPr>
      </w:pPr>
    </w:p>
    <w:p w:rsidR="004208F2" w:rsidRPr="004208F2" w:rsidRDefault="004208F2" w:rsidP="004208F2">
      <w:pPr>
        <w:numPr>
          <w:ilvl w:val="0"/>
          <w:numId w:val="12"/>
        </w:numPr>
        <w:ind w:left="426" w:hanging="426"/>
        <w:jc w:val="both"/>
        <w:rPr>
          <w:rFonts w:ascii="Arial" w:eastAsia="Cambria" w:hAnsi="Arial"/>
          <w:b/>
          <w:i/>
          <w:color w:val="000000"/>
          <w:lang w:val="es-ES_tradnl" w:eastAsia="es-CR"/>
        </w:rPr>
      </w:pPr>
      <w:r w:rsidRPr="004208F2">
        <w:rPr>
          <w:rFonts w:ascii="Arial" w:eastAsia="Cambria" w:hAnsi="Arial"/>
          <w:color w:val="000000"/>
          <w:lang w:val="es-ES_tradnl" w:eastAsia="es-CR"/>
        </w:rPr>
        <w:t>Admitir para el estudio correspondiente, el recurso de revocatoria con apelación en subsidio, ante la Asamblea Institucional Representativa, presentado el 07 de noviembre de 2019 por el Lic. José Luis Cerdas Sánchez, en contra del acuerdo de la Sesión Ordinaria No. 3145, Artículo 14 el Consejo Institucional, con miras a establecer una resolución por el fondo.</w:t>
      </w:r>
    </w:p>
    <w:p w:rsidR="00C56215" w:rsidRDefault="00C56215" w:rsidP="00C56215">
      <w:pPr>
        <w:jc w:val="both"/>
        <w:rPr>
          <w:rFonts w:ascii="Arial" w:eastAsia="Cambria" w:hAnsi="Arial" w:cs="Arial"/>
          <w:lang w:val="es-ES_tradnl" w:eastAsia="en-US"/>
        </w:rPr>
      </w:pPr>
    </w:p>
    <w:p w:rsidR="00C56215" w:rsidRPr="00000523" w:rsidRDefault="00C56215" w:rsidP="004208F2">
      <w:pPr>
        <w:numPr>
          <w:ilvl w:val="0"/>
          <w:numId w:val="12"/>
        </w:numPr>
        <w:ind w:left="426" w:hanging="426"/>
        <w:jc w:val="both"/>
        <w:rPr>
          <w:rFonts w:ascii="Arial" w:hAnsi="Arial" w:cs="Arial"/>
        </w:rPr>
      </w:pPr>
      <w:r w:rsidRPr="00C56215">
        <w:rPr>
          <w:rFonts w:ascii="Arial" w:eastAsia="Cambria" w:hAnsi="Arial" w:cs="Arial"/>
          <w:sz w:val="22"/>
          <w:szCs w:val="22"/>
          <w:lang w:val="es-ES_tradnl" w:eastAsia="en-US"/>
        </w:rPr>
        <w:t>Comunicar</w:t>
      </w:r>
      <w:r w:rsidRPr="00E166DF">
        <w:rPr>
          <w:rFonts w:ascii="Arial" w:hAnsi="Arial" w:cs="Arial"/>
          <w:lang w:val="es-CR"/>
        </w:rPr>
        <w:t>.</w:t>
      </w:r>
      <w:r w:rsidRPr="00E166DF">
        <w:rPr>
          <w:rFonts w:ascii="Arial" w:hAnsi="Arial" w:cs="Arial"/>
          <w:b/>
          <w:lang w:val="es-CR"/>
        </w:rPr>
        <w:t xml:space="preserve">  </w:t>
      </w:r>
    </w:p>
    <w:p w:rsidR="00C56215" w:rsidRPr="00C56215" w:rsidRDefault="00C56215" w:rsidP="00C56215">
      <w:pPr>
        <w:ind w:right="423"/>
        <w:jc w:val="both"/>
        <w:rPr>
          <w:rFonts w:ascii="Arial" w:eastAsia="Arial" w:hAnsi="Arial" w:cs="Arial"/>
          <w:b/>
        </w:rPr>
      </w:pPr>
    </w:p>
    <w:p w:rsidR="00C56215" w:rsidRPr="00C56215" w:rsidRDefault="00C56215" w:rsidP="00C56215">
      <w:pPr>
        <w:ind w:right="423"/>
        <w:jc w:val="both"/>
        <w:rPr>
          <w:rFonts w:ascii="Arial" w:eastAsia="Arial" w:hAnsi="Arial" w:cs="Arial"/>
          <w:b/>
        </w:rPr>
      </w:pPr>
    </w:p>
    <w:p w:rsidR="004208F2" w:rsidRPr="004208F2" w:rsidRDefault="004208F2" w:rsidP="004208F2">
      <w:pPr>
        <w:jc w:val="both"/>
        <w:rPr>
          <w:rFonts w:ascii="Arial" w:eastAsia="Cambria" w:hAnsi="Arial"/>
          <w:b/>
          <w:color w:val="000000"/>
          <w:lang w:val="es-ES_tradnl" w:eastAsia="es-CR"/>
        </w:rPr>
      </w:pPr>
      <w:r w:rsidRPr="004208F2">
        <w:rPr>
          <w:rFonts w:ascii="Arial" w:eastAsia="Cambria" w:hAnsi="Arial"/>
          <w:b/>
          <w:color w:val="000000"/>
          <w:lang w:val="es-ES_tradnl" w:eastAsia="es-CR"/>
        </w:rPr>
        <w:t>Palabras Clave: Recurso - revocatoria - apelación en subsidio - acuerdo - Sesión 3145 CI - artículo 14 - modificación - Artículos 40 y 66 - REA - José Luis Cerdas Sánchez</w:t>
      </w:r>
    </w:p>
    <w:p w:rsidR="00C56215" w:rsidRPr="004208F2" w:rsidRDefault="00C56215" w:rsidP="00C56215">
      <w:pPr>
        <w:ind w:right="423"/>
        <w:jc w:val="both"/>
        <w:rPr>
          <w:rFonts w:ascii="Arial" w:eastAsia="Arial" w:hAnsi="Arial" w:cs="Arial"/>
          <w:b/>
          <w:lang w:val="es-ES_tradnl"/>
        </w:rPr>
      </w:pPr>
    </w:p>
    <w:p w:rsidR="00C56215" w:rsidRPr="00C56215" w:rsidRDefault="00C56215" w:rsidP="007742A1">
      <w:pPr>
        <w:jc w:val="both"/>
        <w:rPr>
          <w:rFonts w:ascii="Arial" w:eastAsia="Cambria" w:hAnsi="Arial" w:cs="Arial"/>
          <w:lang w:eastAsia="en-US"/>
        </w:rPr>
      </w:pPr>
    </w:p>
    <w:p w:rsidR="00E20911" w:rsidRPr="00E20911" w:rsidRDefault="00E20911" w:rsidP="00E20911">
      <w:pPr>
        <w:autoSpaceDE w:val="0"/>
        <w:autoSpaceDN w:val="0"/>
        <w:adjustRightInd w:val="0"/>
        <w:jc w:val="both"/>
        <w:rPr>
          <w:rFonts w:ascii="Arial" w:hAnsi="Arial" w:cs="Arial"/>
          <w:b/>
          <w:sz w:val="16"/>
          <w:szCs w:val="16"/>
          <w:lang w:val="es-CR"/>
        </w:rPr>
      </w:pPr>
    </w:p>
    <w:p w:rsidR="00203B1C" w:rsidRPr="00203B1C" w:rsidRDefault="00203B1C" w:rsidP="00203B1C">
      <w:pPr>
        <w:autoSpaceDE w:val="0"/>
        <w:autoSpaceDN w:val="0"/>
        <w:adjustRightInd w:val="0"/>
        <w:ind w:right="-91"/>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0077CC" w:rsidRPr="00B12317" w:rsidRDefault="00EB0F82" w:rsidP="001E3F3C">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477F3" w:rsidRPr="003E5181" w:rsidRDefault="00B12317" w:rsidP="003E5181">
      <w:pPr>
        <w:ind w:left="284"/>
        <w:jc w:val="both"/>
        <w:rPr>
          <w:rFonts w:ascii="Arial" w:hAnsi="Arial" w:cs="Arial"/>
          <w:b/>
          <w:sz w:val="16"/>
          <w:szCs w:val="16"/>
          <w:lang w:val="es-CR"/>
        </w:rPr>
      </w:pPr>
      <w:r>
        <w:rPr>
          <w:rFonts w:ascii="Arial" w:hAnsi="Arial" w:cs="Arial"/>
          <w:sz w:val="16"/>
          <w:szCs w:val="16"/>
          <w:lang w:val="es-ES_tradnl"/>
        </w:rPr>
        <w:t xml:space="preserve"> </w:t>
      </w:r>
    </w:p>
    <w:p w:rsidR="002C0D34" w:rsidRPr="003E5181" w:rsidRDefault="00F41044" w:rsidP="003E5181">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ED72F3" w:rsidRDefault="00ED72F3" w:rsidP="00C6045C">
      <w:pPr>
        <w:ind w:left="851"/>
        <w:jc w:val="both"/>
        <w:rPr>
          <w:rFonts w:ascii="Arial" w:eastAsia="Cambria" w:hAnsi="Arial" w:cs="Arial"/>
          <w:sz w:val="22"/>
          <w:szCs w:val="22"/>
          <w:lang w:val="es-CR" w:eastAsia="en-US"/>
        </w:rPr>
      </w:pPr>
    </w:p>
    <w:sectPr w:rsidR="00ED72F3"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4E" w:rsidRDefault="00D40D4E">
      <w:r>
        <w:separator/>
      </w:r>
    </w:p>
  </w:endnote>
  <w:endnote w:type="continuationSeparator" w:id="0">
    <w:p w:rsidR="00D40D4E" w:rsidRDefault="00D4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4E" w:rsidRDefault="00D40D4E">
      <w:r>
        <w:separator/>
      </w:r>
    </w:p>
  </w:footnote>
  <w:footnote w:type="continuationSeparator" w:id="0">
    <w:p w:rsidR="00D40D4E" w:rsidRDefault="00D4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w:t>
    </w:r>
    <w:r w:rsidR="00B95071">
      <w:rPr>
        <w:rFonts w:ascii="Arial" w:eastAsia="Cambria" w:hAnsi="Arial" w:cs="Arial"/>
        <w:b/>
        <w:i/>
        <w:iCs/>
        <w:sz w:val="18"/>
        <w:szCs w:val="18"/>
        <w:lang w:val="es-ES_tradnl" w:eastAsia="en-US"/>
      </w:rPr>
      <w:t>7</w:t>
    </w:r>
    <w:r w:rsidRPr="00D958BC">
      <w:rPr>
        <w:rFonts w:ascii="Arial" w:eastAsia="Cambria" w:hAnsi="Arial" w:cs="Arial"/>
        <w:b/>
        <w:i/>
        <w:iCs/>
        <w:sz w:val="18"/>
        <w:szCs w:val="18"/>
        <w:lang w:val="es-ES_tradnl" w:eastAsia="en-US"/>
      </w:rPr>
      <w:t>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D93843">
      <w:rPr>
        <w:rFonts w:ascii="Arial" w:eastAsia="Cambria" w:hAnsi="Arial" w:cs="Arial"/>
        <w:i/>
        <w:sz w:val="18"/>
        <w:szCs w:val="18"/>
        <w:lang w:val="es-ES_tradnl" w:eastAsia="x-none"/>
      </w:rPr>
      <w:t>4</w:t>
    </w:r>
    <w:r w:rsidR="00832C8E">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B95071">
      <w:rPr>
        <w:rFonts w:ascii="Arial" w:eastAsia="Cambria" w:hAnsi="Arial" w:cs="Arial"/>
        <w:i/>
        <w:sz w:val="18"/>
        <w:szCs w:val="18"/>
        <w:lang w:val="es-ES_tradnl" w:eastAsia="x-none"/>
      </w:rPr>
      <w:t>7</w:t>
    </w:r>
    <w:r w:rsidR="00476CE1">
      <w:rPr>
        <w:rFonts w:ascii="Arial" w:eastAsia="Cambria" w:hAnsi="Arial" w:cs="Arial"/>
        <w:i/>
        <w:sz w:val="18"/>
        <w:szCs w:val="18"/>
        <w:lang w:val="es-ES_tradnl" w:eastAsia="x-none"/>
      </w:rPr>
      <w:t>,</w:t>
    </w:r>
    <w:r w:rsidR="002F6AF8">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del </w:t>
    </w:r>
    <w:r w:rsidR="00832C8E">
      <w:rPr>
        <w:rFonts w:ascii="Arial" w:eastAsia="Cambria" w:hAnsi="Arial" w:cs="Arial"/>
        <w:i/>
        <w:sz w:val="18"/>
        <w:szCs w:val="18"/>
        <w:lang w:val="es-ES_tradnl" w:eastAsia="x-none"/>
      </w:rPr>
      <w:t>20</w:t>
    </w:r>
    <w:r w:rsidR="00AB77D4">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C1C18">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192B3831"/>
    <w:multiLevelType w:val="hybridMultilevel"/>
    <w:tmpl w:val="AD0E75C8"/>
    <w:lvl w:ilvl="0" w:tplc="D3CA9C98">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28D4023A"/>
    <w:multiLevelType w:val="multilevel"/>
    <w:tmpl w:val="2050287A"/>
    <w:lvl w:ilvl="0">
      <w:start w:val="1"/>
      <w:numFmt w:val="decimal"/>
      <w:lvlText w:val="%1."/>
      <w:lvlJc w:val="left"/>
      <w:pPr>
        <w:ind w:left="360" w:hanging="360"/>
      </w:pPr>
      <w:rPr>
        <w:rFonts w:ascii="Arial" w:eastAsia="Cambria" w:hAnsi="Arial"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541943"/>
    <w:multiLevelType w:val="multilevel"/>
    <w:tmpl w:val="20C44ABC"/>
    <w:lvl w:ilvl="0">
      <w:start w:val="1"/>
      <w:numFmt w:val="lowerLetter"/>
      <w:lvlText w:val="%1."/>
      <w:lvlJc w:val="left"/>
      <w:pPr>
        <w:ind w:left="720" w:hanging="360"/>
      </w:pPr>
      <w:rPr>
        <w:b/>
        <w:i w:val="0"/>
        <w:strike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F261F6"/>
    <w:multiLevelType w:val="hybridMultilevel"/>
    <w:tmpl w:val="B93CB794"/>
    <w:lvl w:ilvl="0" w:tplc="2C5ADE6E">
      <w:start w:val="1"/>
      <w:numFmt w:val="decimal"/>
      <w:lvlText w:val="%1."/>
      <w:lvlJc w:val="left"/>
      <w:pPr>
        <w:ind w:left="360" w:hanging="360"/>
      </w:pPr>
      <w:rPr>
        <w:rFonts w:ascii="Arial" w:hAnsi="Arial" w:cs="Arial" w:hint="default"/>
        <w:b/>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3C1A7905"/>
    <w:multiLevelType w:val="multilevel"/>
    <w:tmpl w:val="864A38A6"/>
    <w:lvl w:ilvl="0">
      <w:start w:val="1"/>
      <w:numFmt w:val="lowerLetter"/>
      <w:lvlText w:val="%1."/>
      <w:lvlJc w:val="left"/>
      <w:pPr>
        <w:ind w:left="720" w:hanging="360"/>
      </w:pPr>
      <w:rPr>
        <w:b/>
        <w:i w:val="0"/>
        <w:strike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3F49046B"/>
    <w:multiLevelType w:val="hybridMultilevel"/>
    <w:tmpl w:val="F7564B66"/>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C1673A6"/>
    <w:multiLevelType w:val="hybridMultilevel"/>
    <w:tmpl w:val="A91E5402"/>
    <w:lvl w:ilvl="0" w:tplc="3C7A686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4C87CF5"/>
    <w:multiLevelType w:val="hybridMultilevel"/>
    <w:tmpl w:val="38323C5A"/>
    <w:lvl w:ilvl="0" w:tplc="140A0001">
      <w:start w:val="1"/>
      <w:numFmt w:val="bullet"/>
      <w:lvlText w:val=""/>
      <w:lvlJc w:val="left"/>
      <w:pPr>
        <w:tabs>
          <w:tab w:val="num" w:pos="720"/>
        </w:tabs>
        <w:ind w:left="720" w:hanging="360"/>
      </w:pPr>
      <w:rPr>
        <w:rFonts w:ascii="Symbol" w:hAnsi="Symbol" w:hint="default"/>
        <w:b/>
        <w:i/>
        <w:sz w:val="22"/>
        <w:szCs w:val="22"/>
      </w:rPr>
    </w:lvl>
    <w:lvl w:ilvl="1" w:tplc="140A001B">
      <w:start w:val="1"/>
      <w:numFmt w:val="lowerRoman"/>
      <w:lvlText w:val="%2."/>
      <w:lvlJc w:val="righ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8174EB0"/>
    <w:multiLevelType w:val="hybridMultilevel"/>
    <w:tmpl w:val="EAC0869E"/>
    <w:lvl w:ilvl="0" w:tplc="D5C21732">
      <w:start w:val="1"/>
      <w:numFmt w:val="lowerLetter"/>
      <w:lvlText w:val="%1."/>
      <w:lvlJc w:val="left"/>
      <w:pPr>
        <w:tabs>
          <w:tab w:val="num" w:pos="360"/>
        </w:tabs>
        <w:ind w:left="360" w:hanging="360"/>
      </w:pPr>
      <w:rPr>
        <w:rFonts w:cs="TTE1865388t00" w:hint="default"/>
        <w:b/>
        <w:i w:val="0"/>
        <w:sz w:val="22"/>
        <w:szCs w:val="22"/>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B111AF3"/>
    <w:multiLevelType w:val="hybridMultilevel"/>
    <w:tmpl w:val="B93CB794"/>
    <w:lvl w:ilvl="0" w:tplc="2C5ADE6E">
      <w:start w:val="1"/>
      <w:numFmt w:val="decimal"/>
      <w:lvlText w:val="%1."/>
      <w:lvlJc w:val="left"/>
      <w:pPr>
        <w:ind w:left="720" w:hanging="360"/>
      </w:pPr>
      <w:rPr>
        <w:rFonts w:ascii="Arial" w:hAnsi="Arial" w:cs="Arial"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12"/>
  </w:num>
  <w:num w:numId="5">
    <w:abstractNumId w:val="11"/>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5"/>
  </w:num>
  <w:num w:numId="12">
    <w:abstractNumId w:val="7"/>
  </w:num>
  <w:num w:numId="13">
    <w:abstractNumId w:val="9"/>
  </w:num>
  <w:num w:numId="14">
    <w:abstractNumId w:val="2"/>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523"/>
    <w:rsid w:val="000012C8"/>
    <w:rsid w:val="00001369"/>
    <w:rsid w:val="000040EF"/>
    <w:rsid w:val="000046BC"/>
    <w:rsid w:val="00004A0B"/>
    <w:rsid w:val="0000518D"/>
    <w:rsid w:val="0000683B"/>
    <w:rsid w:val="000077CC"/>
    <w:rsid w:val="00010592"/>
    <w:rsid w:val="00011DBE"/>
    <w:rsid w:val="000120EB"/>
    <w:rsid w:val="000128E2"/>
    <w:rsid w:val="000152E6"/>
    <w:rsid w:val="00017A09"/>
    <w:rsid w:val="00017DE2"/>
    <w:rsid w:val="00020858"/>
    <w:rsid w:val="000213DD"/>
    <w:rsid w:val="00024564"/>
    <w:rsid w:val="00024A27"/>
    <w:rsid w:val="00024BA5"/>
    <w:rsid w:val="000254A5"/>
    <w:rsid w:val="000256DE"/>
    <w:rsid w:val="00025F60"/>
    <w:rsid w:val="00026533"/>
    <w:rsid w:val="00026F1A"/>
    <w:rsid w:val="00033918"/>
    <w:rsid w:val="00034CE3"/>
    <w:rsid w:val="000359F5"/>
    <w:rsid w:val="0003651A"/>
    <w:rsid w:val="00036DAC"/>
    <w:rsid w:val="000372D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4138"/>
    <w:rsid w:val="000955C3"/>
    <w:rsid w:val="000A0756"/>
    <w:rsid w:val="000A0FF7"/>
    <w:rsid w:val="000A19B8"/>
    <w:rsid w:val="000A5D85"/>
    <w:rsid w:val="000A5F69"/>
    <w:rsid w:val="000A6BE8"/>
    <w:rsid w:val="000A787F"/>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143"/>
    <w:rsid w:val="000D5ACC"/>
    <w:rsid w:val="000D5C6B"/>
    <w:rsid w:val="000D6061"/>
    <w:rsid w:val="000D62F0"/>
    <w:rsid w:val="000D7162"/>
    <w:rsid w:val="000E1F4D"/>
    <w:rsid w:val="000E2A22"/>
    <w:rsid w:val="000E39E4"/>
    <w:rsid w:val="000E420E"/>
    <w:rsid w:val="000E4C68"/>
    <w:rsid w:val="000E4FED"/>
    <w:rsid w:val="000E564F"/>
    <w:rsid w:val="000E5B14"/>
    <w:rsid w:val="000E6DC9"/>
    <w:rsid w:val="000F106C"/>
    <w:rsid w:val="000F1E1D"/>
    <w:rsid w:val="000F2A0F"/>
    <w:rsid w:val="000F4343"/>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142B"/>
    <w:rsid w:val="001125EE"/>
    <w:rsid w:val="001138F4"/>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67392"/>
    <w:rsid w:val="00171957"/>
    <w:rsid w:val="00171AC3"/>
    <w:rsid w:val="001746E5"/>
    <w:rsid w:val="0018030A"/>
    <w:rsid w:val="001806C4"/>
    <w:rsid w:val="00182124"/>
    <w:rsid w:val="00187E00"/>
    <w:rsid w:val="00190010"/>
    <w:rsid w:val="001962C2"/>
    <w:rsid w:val="00196A5D"/>
    <w:rsid w:val="00196E82"/>
    <w:rsid w:val="001A0A20"/>
    <w:rsid w:val="001A0D41"/>
    <w:rsid w:val="001A214B"/>
    <w:rsid w:val="001A33C3"/>
    <w:rsid w:val="001A622E"/>
    <w:rsid w:val="001A7DF9"/>
    <w:rsid w:val="001B1E0E"/>
    <w:rsid w:val="001B208D"/>
    <w:rsid w:val="001B59CC"/>
    <w:rsid w:val="001B7AB0"/>
    <w:rsid w:val="001C1124"/>
    <w:rsid w:val="001C1335"/>
    <w:rsid w:val="001C1C6A"/>
    <w:rsid w:val="001C54CE"/>
    <w:rsid w:val="001D3276"/>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752"/>
    <w:rsid w:val="001F3B35"/>
    <w:rsid w:val="001F3C06"/>
    <w:rsid w:val="001F3E92"/>
    <w:rsid w:val="0020019E"/>
    <w:rsid w:val="00200318"/>
    <w:rsid w:val="0020223D"/>
    <w:rsid w:val="00202E06"/>
    <w:rsid w:val="00203662"/>
    <w:rsid w:val="00203B1C"/>
    <w:rsid w:val="00203C66"/>
    <w:rsid w:val="0020429C"/>
    <w:rsid w:val="00204A01"/>
    <w:rsid w:val="00204A3D"/>
    <w:rsid w:val="00210743"/>
    <w:rsid w:val="002118B2"/>
    <w:rsid w:val="00212069"/>
    <w:rsid w:val="002127EE"/>
    <w:rsid w:val="002139D9"/>
    <w:rsid w:val="00214986"/>
    <w:rsid w:val="00215C41"/>
    <w:rsid w:val="002172C6"/>
    <w:rsid w:val="00217BCB"/>
    <w:rsid w:val="002204D7"/>
    <w:rsid w:val="002207D9"/>
    <w:rsid w:val="00220ED5"/>
    <w:rsid w:val="00221713"/>
    <w:rsid w:val="00221F57"/>
    <w:rsid w:val="00222C2E"/>
    <w:rsid w:val="00224810"/>
    <w:rsid w:val="00225D59"/>
    <w:rsid w:val="002272D8"/>
    <w:rsid w:val="002279E5"/>
    <w:rsid w:val="00227D3E"/>
    <w:rsid w:val="00230EB0"/>
    <w:rsid w:val="00233B57"/>
    <w:rsid w:val="00234BB0"/>
    <w:rsid w:val="00235258"/>
    <w:rsid w:val="0024107D"/>
    <w:rsid w:val="00241503"/>
    <w:rsid w:val="00242D06"/>
    <w:rsid w:val="00242F8A"/>
    <w:rsid w:val="00245783"/>
    <w:rsid w:val="002460D1"/>
    <w:rsid w:val="002462C8"/>
    <w:rsid w:val="00246D38"/>
    <w:rsid w:val="00247443"/>
    <w:rsid w:val="002477F3"/>
    <w:rsid w:val="00250B47"/>
    <w:rsid w:val="002535D4"/>
    <w:rsid w:val="00253D5C"/>
    <w:rsid w:val="002543F5"/>
    <w:rsid w:val="00255202"/>
    <w:rsid w:val="002569E9"/>
    <w:rsid w:val="00256C13"/>
    <w:rsid w:val="00260B3B"/>
    <w:rsid w:val="00260F3E"/>
    <w:rsid w:val="00261D4A"/>
    <w:rsid w:val="00263196"/>
    <w:rsid w:val="00263233"/>
    <w:rsid w:val="00263D21"/>
    <w:rsid w:val="002643B6"/>
    <w:rsid w:val="00264EFA"/>
    <w:rsid w:val="00266024"/>
    <w:rsid w:val="00266221"/>
    <w:rsid w:val="002668E5"/>
    <w:rsid w:val="0026727D"/>
    <w:rsid w:val="00267A3B"/>
    <w:rsid w:val="00267FAF"/>
    <w:rsid w:val="00271E5D"/>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4FB0"/>
    <w:rsid w:val="002C5EB4"/>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23A9"/>
    <w:rsid w:val="002F6367"/>
    <w:rsid w:val="002F6AF8"/>
    <w:rsid w:val="00300778"/>
    <w:rsid w:val="003011A3"/>
    <w:rsid w:val="0030153B"/>
    <w:rsid w:val="00301B0B"/>
    <w:rsid w:val="00302A99"/>
    <w:rsid w:val="003042E7"/>
    <w:rsid w:val="003047F1"/>
    <w:rsid w:val="0030486D"/>
    <w:rsid w:val="00305BC2"/>
    <w:rsid w:val="00310865"/>
    <w:rsid w:val="003162A0"/>
    <w:rsid w:val="00316937"/>
    <w:rsid w:val="00316C74"/>
    <w:rsid w:val="00316F7C"/>
    <w:rsid w:val="00317D3B"/>
    <w:rsid w:val="0032099D"/>
    <w:rsid w:val="003222DB"/>
    <w:rsid w:val="00322446"/>
    <w:rsid w:val="00322B8A"/>
    <w:rsid w:val="00323397"/>
    <w:rsid w:val="00323590"/>
    <w:rsid w:val="00324AB0"/>
    <w:rsid w:val="00325DEA"/>
    <w:rsid w:val="00325E1C"/>
    <w:rsid w:val="003262C5"/>
    <w:rsid w:val="003309B6"/>
    <w:rsid w:val="00332808"/>
    <w:rsid w:val="00333402"/>
    <w:rsid w:val="00334300"/>
    <w:rsid w:val="00334A92"/>
    <w:rsid w:val="00335BDE"/>
    <w:rsid w:val="003369A5"/>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3EB"/>
    <w:rsid w:val="003538E7"/>
    <w:rsid w:val="0035725E"/>
    <w:rsid w:val="003621F3"/>
    <w:rsid w:val="00365CFF"/>
    <w:rsid w:val="00365D1B"/>
    <w:rsid w:val="0036607E"/>
    <w:rsid w:val="00366F0E"/>
    <w:rsid w:val="00370216"/>
    <w:rsid w:val="00371DC1"/>
    <w:rsid w:val="003756F2"/>
    <w:rsid w:val="003763A1"/>
    <w:rsid w:val="00380871"/>
    <w:rsid w:val="00381397"/>
    <w:rsid w:val="0038212F"/>
    <w:rsid w:val="00382EA8"/>
    <w:rsid w:val="00385402"/>
    <w:rsid w:val="003859C1"/>
    <w:rsid w:val="00385D90"/>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571"/>
    <w:rsid w:val="003C5FFE"/>
    <w:rsid w:val="003C6ED7"/>
    <w:rsid w:val="003D2633"/>
    <w:rsid w:val="003D3F8A"/>
    <w:rsid w:val="003D5AAA"/>
    <w:rsid w:val="003D7515"/>
    <w:rsid w:val="003E02A1"/>
    <w:rsid w:val="003E0C89"/>
    <w:rsid w:val="003E2233"/>
    <w:rsid w:val="003E23AD"/>
    <w:rsid w:val="003E26B1"/>
    <w:rsid w:val="003E2804"/>
    <w:rsid w:val="003E369B"/>
    <w:rsid w:val="003E5181"/>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08F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26D8"/>
    <w:rsid w:val="00443B63"/>
    <w:rsid w:val="004442EF"/>
    <w:rsid w:val="00445CED"/>
    <w:rsid w:val="00445E98"/>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6CE1"/>
    <w:rsid w:val="00477A87"/>
    <w:rsid w:val="00480A91"/>
    <w:rsid w:val="0048135B"/>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2DD2"/>
    <w:rsid w:val="004B3C97"/>
    <w:rsid w:val="004B43AF"/>
    <w:rsid w:val="004B4763"/>
    <w:rsid w:val="004B5364"/>
    <w:rsid w:val="004B66FD"/>
    <w:rsid w:val="004B6F51"/>
    <w:rsid w:val="004C22EE"/>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710"/>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2687"/>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078"/>
    <w:rsid w:val="00531529"/>
    <w:rsid w:val="005318C7"/>
    <w:rsid w:val="00531D6E"/>
    <w:rsid w:val="00532545"/>
    <w:rsid w:val="00532698"/>
    <w:rsid w:val="00533095"/>
    <w:rsid w:val="005335F3"/>
    <w:rsid w:val="00533D6D"/>
    <w:rsid w:val="0053552F"/>
    <w:rsid w:val="00535BFB"/>
    <w:rsid w:val="00537CCA"/>
    <w:rsid w:val="00540263"/>
    <w:rsid w:val="005405AE"/>
    <w:rsid w:val="00540BF7"/>
    <w:rsid w:val="005428FF"/>
    <w:rsid w:val="00542FD2"/>
    <w:rsid w:val="005439E9"/>
    <w:rsid w:val="00543D7B"/>
    <w:rsid w:val="005447D0"/>
    <w:rsid w:val="00546B67"/>
    <w:rsid w:val="00554E8E"/>
    <w:rsid w:val="005578CB"/>
    <w:rsid w:val="005579A5"/>
    <w:rsid w:val="00561FD4"/>
    <w:rsid w:val="005628FD"/>
    <w:rsid w:val="00563417"/>
    <w:rsid w:val="00563E83"/>
    <w:rsid w:val="005653A1"/>
    <w:rsid w:val="0056674D"/>
    <w:rsid w:val="00570916"/>
    <w:rsid w:val="005718A6"/>
    <w:rsid w:val="00574E3C"/>
    <w:rsid w:val="005766E0"/>
    <w:rsid w:val="00577426"/>
    <w:rsid w:val="00581106"/>
    <w:rsid w:val="005816D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121"/>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4B82"/>
    <w:rsid w:val="005F510D"/>
    <w:rsid w:val="005F6B28"/>
    <w:rsid w:val="005F79E5"/>
    <w:rsid w:val="005F7BC7"/>
    <w:rsid w:val="00603C4D"/>
    <w:rsid w:val="00604520"/>
    <w:rsid w:val="006059E6"/>
    <w:rsid w:val="0060685F"/>
    <w:rsid w:val="00607B7C"/>
    <w:rsid w:val="00607ECD"/>
    <w:rsid w:val="00610697"/>
    <w:rsid w:val="0061239A"/>
    <w:rsid w:val="00612C0F"/>
    <w:rsid w:val="006133E5"/>
    <w:rsid w:val="00620D40"/>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26CE"/>
    <w:rsid w:val="00653936"/>
    <w:rsid w:val="006558C0"/>
    <w:rsid w:val="00656B1D"/>
    <w:rsid w:val="00661406"/>
    <w:rsid w:val="00662142"/>
    <w:rsid w:val="00662B2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67AF"/>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795"/>
    <w:rsid w:val="006D5CAB"/>
    <w:rsid w:val="006E0F76"/>
    <w:rsid w:val="006E1429"/>
    <w:rsid w:val="006E2881"/>
    <w:rsid w:val="006E34CD"/>
    <w:rsid w:val="006E4522"/>
    <w:rsid w:val="006E4F8A"/>
    <w:rsid w:val="006E64C7"/>
    <w:rsid w:val="006E6682"/>
    <w:rsid w:val="006E673C"/>
    <w:rsid w:val="006F34B8"/>
    <w:rsid w:val="006F39FD"/>
    <w:rsid w:val="006F47D9"/>
    <w:rsid w:val="006F6992"/>
    <w:rsid w:val="006F7054"/>
    <w:rsid w:val="006F736E"/>
    <w:rsid w:val="006F7C62"/>
    <w:rsid w:val="007006ED"/>
    <w:rsid w:val="00700F21"/>
    <w:rsid w:val="00701DC0"/>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355"/>
    <w:rsid w:val="0073280F"/>
    <w:rsid w:val="00733178"/>
    <w:rsid w:val="00734993"/>
    <w:rsid w:val="00735B4A"/>
    <w:rsid w:val="00735DBA"/>
    <w:rsid w:val="0073629D"/>
    <w:rsid w:val="007369BA"/>
    <w:rsid w:val="00740752"/>
    <w:rsid w:val="0074154D"/>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5A48"/>
    <w:rsid w:val="00767A01"/>
    <w:rsid w:val="00767AF5"/>
    <w:rsid w:val="00771193"/>
    <w:rsid w:val="00771F15"/>
    <w:rsid w:val="007729C9"/>
    <w:rsid w:val="007742A1"/>
    <w:rsid w:val="00774600"/>
    <w:rsid w:val="00777FF4"/>
    <w:rsid w:val="00781332"/>
    <w:rsid w:val="007819B0"/>
    <w:rsid w:val="007837C1"/>
    <w:rsid w:val="007848E0"/>
    <w:rsid w:val="0078514D"/>
    <w:rsid w:val="00785B68"/>
    <w:rsid w:val="00791713"/>
    <w:rsid w:val="00791806"/>
    <w:rsid w:val="00791D2B"/>
    <w:rsid w:val="00794454"/>
    <w:rsid w:val="00795377"/>
    <w:rsid w:val="007959C7"/>
    <w:rsid w:val="007A2D73"/>
    <w:rsid w:val="007A5E5B"/>
    <w:rsid w:val="007B381B"/>
    <w:rsid w:val="007B4662"/>
    <w:rsid w:val="007B56C0"/>
    <w:rsid w:val="007B6F61"/>
    <w:rsid w:val="007B7700"/>
    <w:rsid w:val="007C024F"/>
    <w:rsid w:val="007C10F3"/>
    <w:rsid w:val="007C12C6"/>
    <w:rsid w:val="007C1C18"/>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670"/>
    <w:rsid w:val="008108E8"/>
    <w:rsid w:val="0081353F"/>
    <w:rsid w:val="00815304"/>
    <w:rsid w:val="00816407"/>
    <w:rsid w:val="0081658B"/>
    <w:rsid w:val="00817E8C"/>
    <w:rsid w:val="00821226"/>
    <w:rsid w:val="00821E37"/>
    <w:rsid w:val="00821E72"/>
    <w:rsid w:val="00822772"/>
    <w:rsid w:val="00823CC6"/>
    <w:rsid w:val="00825809"/>
    <w:rsid w:val="00825F93"/>
    <w:rsid w:val="00831982"/>
    <w:rsid w:val="0083257F"/>
    <w:rsid w:val="00832C8E"/>
    <w:rsid w:val="00833CF7"/>
    <w:rsid w:val="00834636"/>
    <w:rsid w:val="00835E65"/>
    <w:rsid w:val="00836144"/>
    <w:rsid w:val="00837AFC"/>
    <w:rsid w:val="0084085F"/>
    <w:rsid w:val="00841F61"/>
    <w:rsid w:val="008434BA"/>
    <w:rsid w:val="00845D24"/>
    <w:rsid w:val="00845DBC"/>
    <w:rsid w:val="00851093"/>
    <w:rsid w:val="008517A6"/>
    <w:rsid w:val="008522DF"/>
    <w:rsid w:val="008544DB"/>
    <w:rsid w:val="008569BA"/>
    <w:rsid w:val="00862FA3"/>
    <w:rsid w:val="00862FDC"/>
    <w:rsid w:val="00863F94"/>
    <w:rsid w:val="00865845"/>
    <w:rsid w:val="00866EEF"/>
    <w:rsid w:val="008757CC"/>
    <w:rsid w:val="008765DF"/>
    <w:rsid w:val="00876EC4"/>
    <w:rsid w:val="00877453"/>
    <w:rsid w:val="0088064F"/>
    <w:rsid w:val="00880D5D"/>
    <w:rsid w:val="008833CD"/>
    <w:rsid w:val="008841D4"/>
    <w:rsid w:val="008846FA"/>
    <w:rsid w:val="00885725"/>
    <w:rsid w:val="00885DF1"/>
    <w:rsid w:val="00885F0A"/>
    <w:rsid w:val="00887FCC"/>
    <w:rsid w:val="008903EF"/>
    <w:rsid w:val="00891B08"/>
    <w:rsid w:val="00893524"/>
    <w:rsid w:val="008935CB"/>
    <w:rsid w:val="00893FAC"/>
    <w:rsid w:val="0089404C"/>
    <w:rsid w:val="008A03C9"/>
    <w:rsid w:val="008A0859"/>
    <w:rsid w:val="008A1075"/>
    <w:rsid w:val="008A160D"/>
    <w:rsid w:val="008A28F0"/>
    <w:rsid w:val="008A3B39"/>
    <w:rsid w:val="008A53D4"/>
    <w:rsid w:val="008A5C04"/>
    <w:rsid w:val="008A6AE5"/>
    <w:rsid w:val="008B0272"/>
    <w:rsid w:val="008B33F4"/>
    <w:rsid w:val="008B43F5"/>
    <w:rsid w:val="008C03A0"/>
    <w:rsid w:val="008C0ED3"/>
    <w:rsid w:val="008C0FFF"/>
    <w:rsid w:val="008C162C"/>
    <w:rsid w:val="008C2C97"/>
    <w:rsid w:val="008C3A8F"/>
    <w:rsid w:val="008C57E2"/>
    <w:rsid w:val="008C7007"/>
    <w:rsid w:val="008C7175"/>
    <w:rsid w:val="008D06F2"/>
    <w:rsid w:val="008D0FEC"/>
    <w:rsid w:val="008D187C"/>
    <w:rsid w:val="008D1976"/>
    <w:rsid w:val="008D3FB0"/>
    <w:rsid w:val="008D4991"/>
    <w:rsid w:val="008D5D01"/>
    <w:rsid w:val="008D74B3"/>
    <w:rsid w:val="008D7C3D"/>
    <w:rsid w:val="008D7E9D"/>
    <w:rsid w:val="008E0D8C"/>
    <w:rsid w:val="008E121B"/>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0371"/>
    <w:rsid w:val="00924AA2"/>
    <w:rsid w:val="009258C6"/>
    <w:rsid w:val="00925985"/>
    <w:rsid w:val="00930A02"/>
    <w:rsid w:val="00931FBC"/>
    <w:rsid w:val="00932C87"/>
    <w:rsid w:val="009401C7"/>
    <w:rsid w:val="00941DA2"/>
    <w:rsid w:val="0094445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9F7EF8"/>
    <w:rsid w:val="00A000F6"/>
    <w:rsid w:val="00A00DE4"/>
    <w:rsid w:val="00A00FA5"/>
    <w:rsid w:val="00A0302F"/>
    <w:rsid w:val="00A034D6"/>
    <w:rsid w:val="00A03B20"/>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430"/>
    <w:rsid w:val="00A369A0"/>
    <w:rsid w:val="00A405DB"/>
    <w:rsid w:val="00A42B31"/>
    <w:rsid w:val="00A44C4E"/>
    <w:rsid w:val="00A50190"/>
    <w:rsid w:val="00A54E67"/>
    <w:rsid w:val="00A559D5"/>
    <w:rsid w:val="00A5669A"/>
    <w:rsid w:val="00A57051"/>
    <w:rsid w:val="00A602B0"/>
    <w:rsid w:val="00A60666"/>
    <w:rsid w:val="00A60DB0"/>
    <w:rsid w:val="00A618D1"/>
    <w:rsid w:val="00A6257F"/>
    <w:rsid w:val="00A62A10"/>
    <w:rsid w:val="00A666DE"/>
    <w:rsid w:val="00A702FC"/>
    <w:rsid w:val="00A70CFC"/>
    <w:rsid w:val="00A7170F"/>
    <w:rsid w:val="00A71CCB"/>
    <w:rsid w:val="00A72D3C"/>
    <w:rsid w:val="00A7618F"/>
    <w:rsid w:val="00A76FD6"/>
    <w:rsid w:val="00A772EF"/>
    <w:rsid w:val="00A77F8A"/>
    <w:rsid w:val="00A80015"/>
    <w:rsid w:val="00A80881"/>
    <w:rsid w:val="00A82AF7"/>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B6112"/>
    <w:rsid w:val="00AB77D4"/>
    <w:rsid w:val="00AC372A"/>
    <w:rsid w:val="00AC6805"/>
    <w:rsid w:val="00AD0968"/>
    <w:rsid w:val="00AD1B0F"/>
    <w:rsid w:val="00AD241E"/>
    <w:rsid w:val="00AD394D"/>
    <w:rsid w:val="00AD5306"/>
    <w:rsid w:val="00AD6483"/>
    <w:rsid w:val="00AD7835"/>
    <w:rsid w:val="00AE0779"/>
    <w:rsid w:val="00AE2D5A"/>
    <w:rsid w:val="00AE2F65"/>
    <w:rsid w:val="00AE36D5"/>
    <w:rsid w:val="00AE5E20"/>
    <w:rsid w:val="00AE6733"/>
    <w:rsid w:val="00AE6DB1"/>
    <w:rsid w:val="00AF2316"/>
    <w:rsid w:val="00AF3280"/>
    <w:rsid w:val="00AF34C9"/>
    <w:rsid w:val="00AF49DF"/>
    <w:rsid w:val="00AF49E9"/>
    <w:rsid w:val="00AF5ACF"/>
    <w:rsid w:val="00B008C0"/>
    <w:rsid w:val="00B03DFF"/>
    <w:rsid w:val="00B0598C"/>
    <w:rsid w:val="00B05C4B"/>
    <w:rsid w:val="00B05D21"/>
    <w:rsid w:val="00B10D6F"/>
    <w:rsid w:val="00B12317"/>
    <w:rsid w:val="00B124AA"/>
    <w:rsid w:val="00B15322"/>
    <w:rsid w:val="00B15A50"/>
    <w:rsid w:val="00B17C67"/>
    <w:rsid w:val="00B17E32"/>
    <w:rsid w:val="00B203ED"/>
    <w:rsid w:val="00B2081E"/>
    <w:rsid w:val="00B219FF"/>
    <w:rsid w:val="00B227C4"/>
    <w:rsid w:val="00B229A7"/>
    <w:rsid w:val="00B23112"/>
    <w:rsid w:val="00B23A76"/>
    <w:rsid w:val="00B26752"/>
    <w:rsid w:val="00B269D8"/>
    <w:rsid w:val="00B26FFA"/>
    <w:rsid w:val="00B36A6C"/>
    <w:rsid w:val="00B40B55"/>
    <w:rsid w:val="00B412E2"/>
    <w:rsid w:val="00B415F0"/>
    <w:rsid w:val="00B416F1"/>
    <w:rsid w:val="00B421BD"/>
    <w:rsid w:val="00B429A5"/>
    <w:rsid w:val="00B4627C"/>
    <w:rsid w:val="00B47959"/>
    <w:rsid w:val="00B500C3"/>
    <w:rsid w:val="00B50C53"/>
    <w:rsid w:val="00B50DD5"/>
    <w:rsid w:val="00B544F0"/>
    <w:rsid w:val="00B545A7"/>
    <w:rsid w:val="00B60382"/>
    <w:rsid w:val="00B6158F"/>
    <w:rsid w:val="00B62374"/>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071"/>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07BB"/>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22F4"/>
    <w:rsid w:val="00C0578A"/>
    <w:rsid w:val="00C06CDD"/>
    <w:rsid w:val="00C07AED"/>
    <w:rsid w:val="00C1061F"/>
    <w:rsid w:val="00C10AC0"/>
    <w:rsid w:val="00C11B55"/>
    <w:rsid w:val="00C11CB1"/>
    <w:rsid w:val="00C129C4"/>
    <w:rsid w:val="00C12BB9"/>
    <w:rsid w:val="00C1421E"/>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2A56"/>
    <w:rsid w:val="00C540BB"/>
    <w:rsid w:val="00C54CCA"/>
    <w:rsid w:val="00C54F22"/>
    <w:rsid w:val="00C55D84"/>
    <w:rsid w:val="00C56215"/>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97C00"/>
    <w:rsid w:val="00CA1B7B"/>
    <w:rsid w:val="00CA1CA8"/>
    <w:rsid w:val="00CA3591"/>
    <w:rsid w:val="00CA3E94"/>
    <w:rsid w:val="00CA406B"/>
    <w:rsid w:val="00CA6F4F"/>
    <w:rsid w:val="00CB0CB0"/>
    <w:rsid w:val="00CB0ED4"/>
    <w:rsid w:val="00CB1EFF"/>
    <w:rsid w:val="00CB2353"/>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27218"/>
    <w:rsid w:val="00D31B0E"/>
    <w:rsid w:val="00D31E17"/>
    <w:rsid w:val="00D3376F"/>
    <w:rsid w:val="00D33CE4"/>
    <w:rsid w:val="00D350A6"/>
    <w:rsid w:val="00D3702F"/>
    <w:rsid w:val="00D3783E"/>
    <w:rsid w:val="00D37A3C"/>
    <w:rsid w:val="00D40D4E"/>
    <w:rsid w:val="00D411CD"/>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5A49"/>
    <w:rsid w:val="00D76019"/>
    <w:rsid w:val="00D76B5F"/>
    <w:rsid w:val="00D77C4D"/>
    <w:rsid w:val="00D811D1"/>
    <w:rsid w:val="00D85AF2"/>
    <w:rsid w:val="00D86B2D"/>
    <w:rsid w:val="00D91190"/>
    <w:rsid w:val="00D91D3F"/>
    <w:rsid w:val="00D91FDE"/>
    <w:rsid w:val="00D93843"/>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36A6"/>
    <w:rsid w:val="00DC4940"/>
    <w:rsid w:val="00DC495A"/>
    <w:rsid w:val="00DC5266"/>
    <w:rsid w:val="00DD46A3"/>
    <w:rsid w:val="00DD50B4"/>
    <w:rsid w:val="00DD739B"/>
    <w:rsid w:val="00DD760F"/>
    <w:rsid w:val="00DE04D8"/>
    <w:rsid w:val="00DE0B28"/>
    <w:rsid w:val="00DE4B08"/>
    <w:rsid w:val="00DE6765"/>
    <w:rsid w:val="00DE6D97"/>
    <w:rsid w:val="00DE7014"/>
    <w:rsid w:val="00DE7BB8"/>
    <w:rsid w:val="00DE7C50"/>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6DF"/>
    <w:rsid w:val="00E16F62"/>
    <w:rsid w:val="00E1750C"/>
    <w:rsid w:val="00E20911"/>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66001"/>
    <w:rsid w:val="00E70574"/>
    <w:rsid w:val="00E718A6"/>
    <w:rsid w:val="00E77421"/>
    <w:rsid w:val="00E80FBE"/>
    <w:rsid w:val="00E81E9F"/>
    <w:rsid w:val="00E82183"/>
    <w:rsid w:val="00E84C74"/>
    <w:rsid w:val="00E85F6A"/>
    <w:rsid w:val="00E86725"/>
    <w:rsid w:val="00E8679F"/>
    <w:rsid w:val="00E9069C"/>
    <w:rsid w:val="00E909DA"/>
    <w:rsid w:val="00E913FF"/>
    <w:rsid w:val="00E9331A"/>
    <w:rsid w:val="00E96B6D"/>
    <w:rsid w:val="00E97E4C"/>
    <w:rsid w:val="00E97F75"/>
    <w:rsid w:val="00EA00DE"/>
    <w:rsid w:val="00EA2E1B"/>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1A2"/>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41A8"/>
    <w:rsid w:val="00F85C49"/>
    <w:rsid w:val="00F873EA"/>
    <w:rsid w:val="00F9258D"/>
    <w:rsid w:val="00F925E2"/>
    <w:rsid w:val="00F93629"/>
    <w:rsid w:val="00F9525E"/>
    <w:rsid w:val="00F952C5"/>
    <w:rsid w:val="00F95643"/>
    <w:rsid w:val="00F96A43"/>
    <w:rsid w:val="00F96DD8"/>
    <w:rsid w:val="00F97429"/>
    <w:rsid w:val="00FA01D3"/>
    <w:rsid w:val="00FA2416"/>
    <w:rsid w:val="00FA31A5"/>
    <w:rsid w:val="00FA361C"/>
    <w:rsid w:val="00FA370C"/>
    <w:rsid w:val="00FA3C47"/>
    <w:rsid w:val="00FA4749"/>
    <w:rsid w:val="00FA53B1"/>
    <w:rsid w:val="00FA6861"/>
    <w:rsid w:val="00FA6F2C"/>
    <w:rsid w:val="00FB07B1"/>
    <w:rsid w:val="00FB0CC5"/>
    <w:rsid w:val="00FB0D21"/>
    <w:rsid w:val="00FB29FB"/>
    <w:rsid w:val="00FB31FA"/>
    <w:rsid w:val="00FB3BFF"/>
    <w:rsid w:val="00FB3EB6"/>
    <w:rsid w:val="00FB4459"/>
    <w:rsid w:val="00FB5D65"/>
    <w:rsid w:val="00FB6232"/>
    <w:rsid w:val="00FC1818"/>
    <w:rsid w:val="00FC1FA4"/>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 w:val="00FF73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10676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811D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A2E1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203B1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203B1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3621F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20911"/>
  </w:style>
  <w:style w:type="table" w:customStyle="1" w:styleId="TableGrid0">
    <w:name w:val="Table Grid0"/>
    <w:rsid w:val="00E20911"/>
    <w:rPr>
      <w:rFonts w:ascii="Calibri" w:hAnsi="Calibri"/>
      <w:sz w:val="22"/>
      <w:szCs w:val="22"/>
    </w:rPr>
    <w:tblPr>
      <w:tblCellMar>
        <w:top w:w="0" w:type="dxa"/>
        <w:left w:w="0" w:type="dxa"/>
        <w:bottom w:w="0" w:type="dxa"/>
        <w:right w:w="0" w:type="dxa"/>
      </w:tblCellMar>
    </w:tblPr>
  </w:style>
  <w:style w:type="paragraph" w:styleId="Revisin">
    <w:name w:val="Revision"/>
    <w:hidden/>
    <w:uiPriority w:val="99"/>
    <w:semiHidden/>
    <w:rsid w:val="00E20911"/>
    <w:rPr>
      <w:lang w:eastAsia="es-ES"/>
    </w:rPr>
  </w:style>
  <w:style w:type="table" w:customStyle="1" w:styleId="Tablaconcuadrcula18">
    <w:name w:val="Tabla con cuadrícula18"/>
    <w:basedOn w:val="Tablanormal"/>
    <w:next w:val="Tablaconcuadrcula"/>
    <w:uiPriority w:val="39"/>
    <w:rsid w:val="00E209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D45F-F735-4E2C-8B95-412243F7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4</Pages>
  <Words>1403</Words>
  <Characters>7608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Damaris Quesada Murillo</cp:lastModifiedBy>
  <cp:revision>237</cp:revision>
  <cp:lastPrinted>2019-08-14T19:53:00Z</cp:lastPrinted>
  <dcterms:created xsi:type="dcterms:W3CDTF">2018-05-02T21:37:00Z</dcterms:created>
  <dcterms:modified xsi:type="dcterms:W3CDTF">2019-11-20T20:42:00Z</dcterms:modified>
</cp:coreProperties>
</file>