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1" w:firstLineChars="50"/>
        <w:jc w:val="center"/>
        <w:rPr>
          <w:b/>
          <w:sz w:val="44"/>
          <w:szCs w:val="44"/>
        </w:rPr>
      </w:pPr>
      <w:r>
        <w:rPr>
          <w:b/>
          <w:sz w:val="44"/>
          <w:szCs w:val="44"/>
        </w:rPr>
        <w:t xml:space="preserve">Training </w:t>
      </w:r>
      <w:r>
        <w:rPr>
          <w:rFonts w:hint="eastAsia"/>
          <w:b/>
          <w:sz w:val="44"/>
          <w:szCs w:val="44"/>
        </w:rPr>
        <w:t>Course</w:t>
      </w:r>
      <w:r>
        <w:rPr>
          <w:b/>
          <w:sz w:val="44"/>
          <w:szCs w:val="44"/>
        </w:rPr>
        <w:t xml:space="preserve"> on </w:t>
      </w:r>
      <w:r>
        <w:rPr>
          <w:rFonts w:hint="eastAsia"/>
          <w:b/>
          <w:sz w:val="44"/>
          <w:szCs w:val="44"/>
        </w:rPr>
        <w:t>Rain</w:t>
      </w:r>
      <w:r>
        <w:rPr>
          <w:b/>
          <w:sz w:val="44"/>
          <w:szCs w:val="44"/>
        </w:rPr>
        <w:t>water Harvesting and Utilization for BRI Partner Countries</w:t>
      </w:r>
      <w:r>
        <w:rPr>
          <w:rFonts w:hint="eastAsia"/>
          <w:b/>
          <w:sz w:val="44"/>
          <w:szCs w:val="44"/>
        </w:rPr>
        <w:t xml:space="preserve"> </w:t>
      </w:r>
      <w:r>
        <w:rPr>
          <w:b/>
          <w:sz w:val="44"/>
          <w:szCs w:val="44"/>
        </w:rPr>
        <w:t>Project Profile</w:t>
      </w:r>
    </w:p>
    <w:tbl>
      <w:tblPr>
        <w:tblStyle w:val="9"/>
        <w:tblW w:w="975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646"/>
        <w:gridCol w:w="2158"/>
        <w:gridCol w:w="2306"/>
        <w:gridCol w:w="251"/>
        <w:gridCol w:w="1499"/>
        <w:gridCol w:w="189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Align w:val="center"/>
          </w:tcPr>
          <w:p>
            <w:pPr>
              <w:jc w:val="center"/>
            </w:pPr>
            <w:r>
              <w:t>Name</w:t>
            </w:r>
          </w:p>
        </w:tc>
        <w:tc>
          <w:tcPr>
            <w:tcW w:w="8110" w:type="dxa"/>
            <w:gridSpan w:val="5"/>
            <w:vAlign w:val="center"/>
          </w:tcPr>
          <w:p>
            <w:pPr>
              <w:jc w:val="center"/>
            </w:pPr>
            <w:bookmarkStart w:id="1" w:name="_GoBack"/>
            <w:r>
              <w:t>Training Course on Rainwater Harvesting and Utilization for BRI Partner Countries</w:t>
            </w:r>
          </w:p>
          <w:bookmarkEnd w:id="1"/>
          <w:p>
            <w:pPr>
              <w:jc w:val="cente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821" w:hRule="exact"/>
          <w:jc w:val="center"/>
        </w:trPr>
        <w:tc>
          <w:tcPr>
            <w:tcW w:w="1646" w:type="dxa"/>
            <w:vAlign w:val="center"/>
          </w:tcPr>
          <w:p>
            <w:pPr>
              <w:jc w:val="center"/>
            </w:pPr>
            <w:r>
              <w:t>Organizer</w:t>
            </w:r>
          </w:p>
        </w:tc>
        <w:tc>
          <w:tcPr>
            <w:tcW w:w="8110" w:type="dxa"/>
            <w:gridSpan w:val="5"/>
            <w:vAlign w:val="center"/>
          </w:tcPr>
          <w:p>
            <w:pPr>
              <w:jc w:val="center"/>
            </w:pPr>
            <w:r>
              <w:t>Academy for International Business Officials (AIBO), Ministry of Commerce, P. R. China</w:t>
            </w:r>
          </w:p>
          <w:p>
            <w:pPr>
              <w:jc w:val="center"/>
            </w:pPr>
            <w:r>
              <w:t>Gansu Academy for Water Conservancy(GAWC)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Align w:val="center"/>
          </w:tcPr>
          <w:p>
            <w:pPr>
              <w:jc w:val="center"/>
            </w:pPr>
            <w:r>
              <w:t>Time</w:t>
            </w:r>
          </w:p>
        </w:tc>
        <w:tc>
          <w:tcPr>
            <w:tcW w:w="4464" w:type="dxa"/>
            <w:gridSpan w:val="2"/>
            <w:vAlign w:val="center"/>
          </w:tcPr>
          <w:p>
            <w:pPr>
              <w:jc w:val="center"/>
            </w:pPr>
            <w:r>
              <w:t xml:space="preserve">From 3 July-22 </w:t>
            </w:r>
            <w:r>
              <w:rPr>
                <w:rFonts w:hint="eastAsia"/>
              </w:rPr>
              <w:t>July</w:t>
            </w:r>
            <w:r>
              <w:t>, 2025 (2</w:t>
            </w:r>
            <w:r>
              <w:rPr>
                <w:rFonts w:hint="eastAsia"/>
              </w:rPr>
              <w:t xml:space="preserve">0 </w:t>
            </w:r>
            <w:r>
              <w:t>days)</w:t>
            </w:r>
          </w:p>
        </w:tc>
        <w:tc>
          <w:tcPr>
            <w:tcW w:w="1750" w:type="dxa"/>
            <w:gridSpan w:val="2"/>
            <w:vAlign w:val="center"/>
          </w:tcPr>
          <w:p>
            <w:pPr>
              <w:jc w:val="center"/>
            </w:pPr>
            <w:r>
              <w:t>Language</w:t>
            </w:r>
          </w:p>
        </w:tc>
        <w:tc>
          <w:tcPr>
            <w:tcW w:w="1896" w:type="dxa"/>
            <w:vAlign w:val="center"/>
          </w:tcPr>
          <w:p>
            <w:pPr>
              <w:jc w:val="center"/>
            </w:pPr>
            <w:r>
              <w:rPr>
                <w:lang w:eastAsia="zh-Hans"/>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61" w:hRule="exact"/>
          <w:jc w:val="center"/>
        </w:trPr>
        <w:tc>
          <w:tcPr>
            <w:tcW w:w="1646" w:type="dxa"/>
            <w:vAlign w:val="center"/>
          </w:tcPr>
          <w:p>
            <w:pPr>
              <w:jc w:val="center"/>
            </w:pPr>
            <w:r>
              <w:t>Invited Participants</w:t>
            </w:r>
          </w:p>
        </w:tc>
        <w:tc>
          <w:tcPr>
            <w:tcW w:w="8110" w:type="dxa"/>
            <w:gridSpan w:val="5"/>
            <w:vAlign w:val="center"/>
          </w:tcPr>
          <w:p>
            <w:pPr>
              <w:jc w:val="center"/>
              <w:rPr>
                <w:szCs w:val="21"/>
              </w:rPr>
            </w:pPr>
            <w:r>
              <w:rPr>
                <w:lang w:eastAsia="zh-Hans"/>
              </w:rPr>
              <w:t>Technicians and managers from organizations related to agriculture, water resources, rural water supply, and rural poverty alleviation development in developing countries (Director level).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03" w:hRule="exact"/>
          <w:jc w:val="center"/>
        </w:trPr>
        <w:tc>
          <w:tcPr>
            <w:tcW w:w="1646" w:type="dxa"/>
            <w:vAlign w:val="center"/>
          </w:tcPr>
          <w:p>
            <w:pPr>
              <w:jc w:val="center"/>
            </w:pPr>
            <w:r>
              <w:t>Number of Participants</w:t>
            </w:r>
          </w:p>
        </w:tc>
        <w:tc>
          <w:tcPr>
            <w:tcW w:w="8110" w:type="dxa"/>
            <w:gridSpan w:val="5"/>
            <w:vAlign w:val="center"/>
          </w:tcPr>
          <w:p>
            <w:pPr>
              <w:jc w:val="center"/>
            </w:pPr>
            <w:r>
              <w:t>2</w:t>
            </w:r>
            <w:r>
              <w:rPr>
                <w:rFonts w:hint="eastAsia"/>
              </w:rPr>
              <w:t xml:space="preserve">5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13" w:hRule="exact"/>
          <w:jc w:val="center"/>
        </w:trPr>
        <w:tc>
          <w:tcPr>
            <w:tcW w:w="1646" w:type="dxa"/>
            <w:vMerge w:val="restart"/>
            <w:vAlign w:val="center"/>
          </w:tcPr>
          <w:p>
            <w:pPr>
              <w:jc w:val="center"/>
            </w:pPr>
            <w:r>
              <w:t>Requirements for the Participants</w:t>
            </w:r>
          </w:p>
        </w:tc>
        <w:tc>
          <w:tcPr>
            <w:tcW w:w="2158" w:type="dxa"/>
            <w:vAlign w:val="center"/>
          </w:tcPr>
          <w:p>
            <w:pPr>
              <w:jc w:val="center"/>
            </w:pPr>
            <w:r>
              <w:t>Age</w:t>
            </w:r>
          </w:p>
        </w:tc>
        <w:tc>
          <w:tcPr>
            <w:tcW w:w="5952" w:type="dxa"/>
            <w:gridSpan w:val="4"/>
            <w:vAlign w:val="center"/>
          </w:tcPr>
          <w:p>
            <w:r>
              <w:t>Under 50 for officials at the Director-General level; under 45 for officials at the Director level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963" w:hRule="exact"/>
          <w:jc w:val="center"/>
        </w:trPr>
        <w:tc>
          <w:tcPr>
            <w:tcW w:w="1646" w:type="dxa"/>
            <w:vMerge w:val="continue"/>
            <w:vAlign w:val="center"/>
          </w:tcPr>
          <w:p>
            <w:pPr>
              <w:jc w:val="center"/>
            </w:pPr>
          </w:p>
        </w:tc>
        <w:tc>
          <w:tcPr>
            <w:tcW w:w="2158" w:type="dxa"/>
            <w:vAlign w:val="center"/>
          </w:tcPr>
          <w:p>
            <w:pPr>
              <w:jc w:val="center"/>
            </w:pPr>
            <w:r>
              <w:t>Health</w:t>
            </w:r>
          </w:p>
        </w:tc>
        <w:tc>
          <w:tcPr>
            <w:tcW w:w="5952" w:type="dxa"/>
            <w:gridSpan w:val="4"/>
            <w:vAlign w:val="center"/>
          </w:tcPr>
          <w:p>
            <w:pPr>
              <w:rPr>
                <w:lang w:eastAsia="zh-Hans"/>
              </w:rPr>
            </w:pPr>
            <w:r>
              <w:rPr>
                <w:szCs w:val="21"/>
              </w:rPr>
              <w:t>Participants should be in good health, and provide a health certificate or medical examination form issued by a local public hospital. Participants should be free of diseases prohibited by Chinese laws and regulations to enter the country, free of other serious chronic diseases such as severe hypertension, cardiovascular and cerebrovascular diseases, and diabetes, mental diseases or infectious diseases that may pose a significant public health risk, not in the period of recovering from major surgery or acute illness, not severely physically disabled nor pregnant.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93" w:hRule="exact"/>
          <w:jc w:val="center"/>
        </w:trPr>
        <w:tc>
          <w:tcPr>
            <w:tcW w:w="1646" w:type="dxa"/>
            <w:vMerge w:val="continue"/>
            <w:vAlign w:val="center"/>
          </w:tcPr>
          <w:p>
            <w:pPr>
              <w:jc w:val="center"/>
            </w:pPr>
          </w:p>
        </w:tc>
        <w:tc>
          <w:tcPr>
            <w:tcW w:w="2158" w:type="dxa"/>
            <w:vAlign w:val="center"/>
          </w:tcPr>
          <w:p>
            <w:pPr>
              <w:jc w:val="center"/>
            </w:pPr>
            <w:r>
              <w:t>Language</w:t>
            </w:r>
          </w:p>
        </w:tc>
        <w:tc>
          <w:tcPr>
            <w:tcW w:w="5952" w:type="dxa"/>
            <w:gridSpan w:val="4"/>
            <w:vAlign w:val="center"/>
          </w:tcPr>
          <w:p>
            <w:pPr>
              <w:jc w:val="left"/>
            </w:pPr>
            <w:r>
              <w:rPr>
                <w:lang w:eastAsia="zh-Hans"/>
              </w:rPr>
              <w:t>Participants should be capable of listening, speaking, reading and writing in English that can meet the requirements of the class.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Others</w:t>
            </w:r>
          </w:p>
        </w:tc>
        <w:tc>
          <w:tcPr>
            <w:tcW w:w="5952" w:type="dxa"/>
            <w:gridSpan w:val="4"/>
            <w:vAlign w:val="center"/>
          </w:tcPr>
          <w:p>
            <w:r>
              <w:rPr>
                <w:kern w:val="0"/>
                <w:szCs w:val="21"/>
              </w:rPr>
              <w:t>Family members or friends shall not follow</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87" w:hRule="exact"/>
          <w:jc w:val="center"/>
        </w:trPr>
        <w:tc>
          <w:tcPr>
            <w:tcW w:w="1646" w:type="dxa"/>
            <w:vAlign w:val="center"/>
          </w:tcPr>
          <w:p>
            <w:pPr>
              <w:jc w:val="center"/>
            </w:pPr>
            <w:r>
              <w:t>Host City</w:t>
            </w:r>
          </w:p>
        </w:tc>
        <w:tc>
          <w:tcPr>
            <w:tcW w:w="2158" w:type="dxa"/>
            <w:vAlign w:val="center"/>
          </w:tcPr>
          <w:p>
            <w:pPr>
              <w:jc w:val="center"/>
            </w:pPr>
            <w:r>
              <w:rPr>
                <w:rFonts w:hint="eastAsia"/>
              </w:rPr>
              <w:t>Lanzhou</w:t>
            </w:r>
          </w:p>
        </w:tc>
        <w:tc>
          <w:tcPr>
            <w:tcW w:w="2557" w:type="dxa"/>
            <w:gridSpan w:val="2"/>
            <w:vAlign w:val="center"/>
          </w:tcPr>
          <w:p>
            <w:pPr>
              <w:jc w:val="center"/>
            </w:pPr>
            <w:r>
              <w:t>Local Temperature</w:t>
            </w:r>
          </w:p>
        </w:tc>
        <w:tc>
          <w:tcPr>
            <w:tcW w:w="3395" w:type="dxa"/>
            <w:gridSpan w:val="2"/>
            <w:vAlign w:val="center"/>
          </w:tcPr>
          <w:p>
            <w:r>
              <w:t>Average temperature: 1</w:t>
            </w:r>
            <w:r>
              <w:rPr>
                <w:rFonts w:hint="eastAsia"/>
              </w:rPr>
              <w:t>9</w:t>
            </w:r>
            <w:r>
              <w:t xml:space="preserve">°C </w:t>
            </w:r>
            <w:r>
              <w:rPr>
                <w:szCs w:val="21"/>
              </w:rPr>
              <w:t>-</w:t>
            </w:r>
            <w:r>
              <w:t xml:space="preserve"> 31°C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97" w:hRule="exact"/>
          <w:jc w:val="center"/>
        </w:trPr>
        <w:tc>
          <w:tcPr>
            <w:tcW w:w="1646" w:type="dxa"/>
            <w:vAlign w:val="center"/>
          </w:tcPr>
          <w:p>
            <w:pPr>
              <w:jc w:val="center"/>
            </w:pPr>
            <w:r>
              <w:t>Cities to Visit</w:t>
            </w:r>
          </w:p>
        </w:tc>
        <w:tc>
          <w:tcPr>
            <w:tcW w:w="2158" w:type="dxa"/>
            <w:vAlign w:val="center"/>
          </w:tcPr>
          <w:p>
            <w:pPr>
              <w:jc w:val="center"/>
            </w:pPr>
            <w:r>
              <w:rPr>
                <w:szCs w:val="21"/>
              </w:rPr>
              <w:t>Xi 'an</w:t>
            </w:r>
          </w:p>
        </w:tc>
        <w:tc>
          <w:tcPr>
            <w:tcW w:w="2557" w:type="dxa"/>
            <w:gridSpan w:val="2"/>
            <w:vAlign w:val="center"/>
          </w:tcPr>
          <w:p>
            <w:pPr>
              <w:jc w:val="center"/>
            </w:pPr>
            <w:r>
              <w:t>Local Temperature</w:t>
            </w:r>
          </w:p>
        </w:tc>
        <w:tc>
          <w:tcPr>
            <w:tcW w:w="3395" w:type="dxa"/>
            <w:gridSpan w:val="2"/>
            <w:vAlign w:val="center"/>
          </w:tcPr>
          <w:p>
            <w:pPr>
              <w:rPr>
                <w:szCs w:val="21"/>
              </w:rPr>
            </w:pPr>
            <w:r>
              <w:t>Average temperature:2</w:t>
            </w:r>
            <w:r>
              <w:rPr>
                <w:rFonts w:hint="eastAsia"/>
              </w:rPr>
              <w:t>5</w:t>
            </w:r>
            <w:r>
              <w:rPr>
                <w:rFonts w:hint="eastAsia" w:ascii="宋体" w:hAnsi="宋体"/>
              </w:rPr>
              <w:t>℃</w:t>
            </w:r>
            <w:r>
              <w:rPr>
                <w:rFonts w:hint="eastAsia"/>
              </w:rPr>
              <w:t>-</w:t>
            </w:r>
            <w:r>
              <w:t>3</w:t>
            </w:r>
            <w:r>
              <w:rPr>
                <w:rFonts w:hint="eastAsia"/>
              </w:rPr>
              <w:t>5</w:t>
            </w:r>
            <w:r>
              <w:rPr>
                <w:rFonts w:hint="eastAsia" w:ascii="宋体" w:hAnsi="宋体"/>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55" w:hRule="exact"/>
          <w:jc w:val="center"/>
        </w:trPr>
        <w:tc>
          <w:tcPr>
            <w:tcW w:w="1646" w:type="dxa"/>
            <w:vAlign w:val="center"/>
          </w:tcPr>
          <w:p>
            <w:pPr>
              <w:jc w:val="center"/>
            </w:pPr>
            <w:r>
              <w:t>Notes</w:t>
            </w:r>
          </w:p>
        </w:tc>
        <w:tc>
          <w:tcPr>
            <w:tcW w:w="8110" w:type="dxa"/>
            <w:gridSpan w:val="5"/>
          </w:tcPr>
          <w:p>
            <w:pPr>
              <w:jc w:val="center"/>
            </w:pP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restart"/>
            <w:vAlign w:val="center"/>
          </w:tcPr>
          <w:p>
            <w:pPr>
              <w:jc w:val="center"/>
            </w:pPr>
            <w:r>
              <w:t>Contact of the Organizer</w:t>
            </w:r>
          </w:p>
        </w:tc>
        <w:tc>
          <w:tcPr>
            <w:tcW w:w="2158" w:type="dxa"/>
            <w:vAlign w:val="center"/>
          </w:tcPr>
          <w:p>
            <w:pPr>
              <w:jc w:val="center"/>
            </w:pPr>
            <w:r>
              <w:t>Contact Person(s)</w:t>
            </w:r>
          </w:p>
        </w:tc>
        <w:tc>
          <w:tcPr>
            <w:tcW w:w="5952" w:type="dxa"/>
            <w:gridSpan w:val="4"/>
            <w:vAlign w:val="center"/>
          </w:tcPr>
          <w:p>
            <w:pPr>
              <w:jc w:val="center"/>
            </w:pPr>
            <w:r>
              <w:rPr>
                <w:bCs/>
                <w:color w:val="000000"/>
                <w:szCs w:val="21"/>
              </w:rPr>
              <w:t>Wang Ying(Ms.) / Qin Li (Mr.)</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Telephone</w:t>
            </w:r>
          </w:p>
        </w:tc>
        <w:tc>
          <w:tcPr>
            <w:tcW w:w="5952" w:type="dxa"/>
            <w:gridSpan w:val="4"/>
            <w:vAlign w:val="center"/>
          </w:tcPr>
          <w:p>
            <w:pPr>
              <w:jc w:val="center"/>
            </w:pPr>
            <w:r>
              <w:rPr>
                <w:rFonts w:hint="eastAsia"/>
                <w:bCs/>
                <w:color w:val="000000"/>
                <w:szCs w:val="21"/>
              </w:rPr>
              <w:t>0086-</w:t>
            </w:r>
            <w:r>
              <w:rPr>
                <w:bCs/>
                <w:color w:val="000000"/>
                <w:szCs w:val="21"/>
              </w:rPr>
              <w:t>931-8408603</w:t>
            </w:r>
            <w:r>
              <w:rPr>
                <w:rFonts w:hint="eastAsia"/>
                <w:bCs/>
                <w:color w:val="000000"/>
                <w:szCs w:val="21"/>
              </w:rPr>
              <w:t>（Wang）</w:t>
            </w:r>
            <w:r>
              <w:rPr>
                <w:rFonts w:hint="eastAsia"/>
                <w:bCs/>
                <w:szCs w:val="21"/>
              </w:rPr>
              <w:t>/ 0086-</w:t>
            </w:r>
            <w:r>
              <w:rPr>
                <w:bCs/>
                <w:szCs w:val="21"/>
              </w:rPr>
              <w:t>931-8457827</w:t>
            </w:r>
            <w:r>
              <w:rPr>
                <w:rFonts w:hint="eastAsia"/>
                <w:bCs/>
                <w:szCs w:val="21"/>
              </w:rPr>
              <w:t>（Qin）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Cell</w:t>
            </w:r>
          </w:p>
        </w:tc>
        <w:tc>
          <w:tcPr>
            <w:tcW w:w="5952" w:type="dxa"/>
            <w:gridSpan w:val="4"/>
            <w:vAlign w:val="center"/>
          </w:tcPr>
          <w:p>
            <w:pPr>
              <w:jc w:val="center"/>
            </w:pPr>
            <w:r>
              <w:rPr>
                <w:rFonts w:hint="eastAsia"/>
                <w:bCs/>
                <w:color w:val="000000"/>
                <w:szCs w:val="21"/>
              </w:rPr>
              <w:t>0086-1</w:t>
            </w:r>
            <w:r>
              <w:rPr>
                <w:bCs/>
                <w:color w:val="000000"/>
                <w:szCs w:val="21"/>
              </w:rPr>
              <w:t>5095315881</w:t>
            </w:r>
            <w:r>
              <w:rPr>
                <w:rFonts w:hint="eastAsia"/>
                <w:bCs/>
                <w:color w:val="000000"/>
                <w:szCs w:val="21"/>
              </w:rPr>
              <w:t>（W</w:t>
            </w:r>
            <w:r>
              <w:rPr>
                <w:bCs/>
                <w:color w:val="000000"/>
                <w:szCs w:val="21"/>
              </w:rPr>
              <w:t>ang</w:t>
            </w:r>
            <w:r>
              <w:rPr>
                <w:rFonts w:hint="eastAsia"/>
                <w:bCs/>
                <w:color w:val="000000"/>
                <w:szCs w:val="21"/>
              </w:rPr>
              <w:t>）</w:t>
            </w:r>
            <w:r>
              <w:rPr>
                <w:rFonts w:hint="eastAsia"/>
                <w:bCs/>
                <w:szCs w:val="21"/>
              </w:rPr>
              <w:t>/</w:t>
            </w:r>
            <w:r>
              <w:rPr>
                <w:bCs/>
                <w:szCs w:val="21"/>
              </w:rPr>
              <w:t xml:space="preserve"> </w:t>
            </w:r>
            <w:r>
              <w:t>0086-13659315661</w:t>
            </w:r>
            <w:r>
              <w:rPr>
                <w:rFonts w:hint="eastAsia"/>
              </w:rPr>
              <w:t>（Q</w:t>
            </w:r>
            <w:r>
              <w:t>in</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Fax</w:t>
            </w:r>
          </w:p>
        </w:tc>
        <w:tc>
          <w:tcPr>
            <w:tcW w:w="5952" w:type="dxa"/>
            <w:gridSpan w:val="4"/>
            <w:vAlign w:val="center"/>
          </w:tcPr>
          <w:p>
            <w:pPr>
              <w:jc w:val="center"/>
            </w:pPr>
            <w:r>
              <w:rPr>
                <w:rFonts w:hint="eastAsia"/>
                <w:bCs/>
                <w:color w:val="000000"/>
                <w:szCs w:val="21"/>
              </w:rPr>
              <w:t>0086-</w:t>
            </w:r>
            <w:r>
              <w:rPr>
                <w:bCs/>
                <w:color w:val="000000"/>
                <w:szCs w:val="21"/>
              </w:rPr>
              <w:t>931</w:t>
            </w:r>
            <w:r>
              <w:rPr>
                <w:rFonts w:hint="eastAsia"/>
                <w:bCs/>
                <w:color w:val="000000"/>
                <w:szCs w:val="21"/>
              </w:rPr>
              <w:t>-</w:t>
            </w:r>
            <w:r>
              <w:rPr>
                <w:bCs/>
                <w:color w:val="000000"/>
                <w:szCs w:val="21"/>
              </w:rPr>
              <w:t>8408603</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rPr>
                <w:rFonts w:hint="eastAsia"/>
              </w:rPr>
              <w:t>E-mail</w:t>
            </w:r>
          </w:p>
        </w:tc>
        <w:tc>
          <w:tcPr>
            <w:tcW w:w="5952" w:type="dxa"/>
            <w:gridSpan w:val="4"/>
            <w:vAlign w:val="center"/>
          </w:tcPr>
          <w:p>
            <w:pPr>
              <w:jc w:val="center"/>
            </w:pPr>
            <w:r>
              <w:fldChar w:fldCharType="begin"/>
            </w:r>
            <w:r>
              <w:instrText xml:space="preserve"> HYPERLINK "mailto:xuemeidejia@126.com%20/" </w:instrText>
            </w:r>
            <w:r>
              <w:fldChar w:fldCharType="separate"/>
            </w:r>
            <w:r>
              <w:rPr>
                <w:rStyle w:val="14"/>
                <w:rFonts w:eastAsia="宋体"/>
                <w:sz w:val="21"/>
                <w:szCs w:val="21"/>
              </w:rPr>
              <w:t>xuemeidejia</w:t>
            </w:r>
            <w:r>
              <w:rPr>
                <w:rStyle w:val="14"/>
                <w:rFonts w:hint="eastAsia" w:eastAsia="宋体"/>
                <w:sz w:val="21"/>
                <w:szCs w:val="21"/>
              </w:rPr>
              <w:t>@</w:t>
            </w:r>
            <w:r>
              <w:rPr>
                <w:rStyle w:val="14"/>
                <w:rFonts w:eastAsia="宋体"/>
                <w:sz w:val="21"/>
                <w:szCs w:val="21"/>
              </w:rPr>
              <w:t>126</w:t>
            </w:r>
            <w:r>
              <w:rPr>
                <w:rStyle w:val="14"/>
                <w:rFonts w:hint="eastAsia" w:eastAsia="宋体"/>
                <w:sz w:val="21"/>
                <w:szCs w:val="21"/>
              </w:rPr>
              <w:t>.com</w:t>
            </w:r>
            <w:r>
              <w:rPr>
                <w:rStyle w:val="14"/>
                <w:rFonts w:eastAsia="宋体"/>
                <w:sz w:val="21"/>
                <w:szCs w:val="21"/>
              </w:rPr>
              <w:t xml:space="preserve"> /</w:t>
            </w:r>
            <w:r>
              <w:rPr>
                <w:rStyle w:val="14"/>
                <w:rFonts w:eastAsia="宋体"/>
                <w:sz w:val="21"/>
                <w:szCs w:val="21"/>
              </w:rPr>
              <w:fldChar w:fldCharType="end"/>
            </w:r>
            <w:r>
              <w:rPr>
                <w:szCs w:val="21"/>
              </w:rPr>
              <w:t xml:space="preserve"> </w:t>
            </w:r>
            <w:r>
              <w:rPr>
                <w:rStyle w:val="14"/>
                <w:rFonts w:eastAsia="宋体"/>
                <w:sz w:val="21"/>
                <w:szCs w:val="21"/>
              </w:rPr>
              <w:t>irigation@126.com</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Address</w:t>
            </w:r>
          </w:p>
        </w:tc>
        <w:tc>
          <w:tcPr>
            <w:tcW w:w="5952" w:type="dxa"/>
            <w:gridSpan w:val="4"/>
            <w:vAlign w:val="center"/>
          </w:tcPr>
          <w:p>
            <w:pPr>
              <w:jc w:val="center"/>
              <w:rPr>
                <w:spacing w:val="-8"/>
                <w:szCs w:val="21"/>
              </w:rPr>
            </w:pPr>
            <w:r>
              <w:rPr>
                <w:spacing w:val="-8"/>
                <w:szCs w:val="21"/>
              </w:rPr>
              <w:t>No.278 Gannan Road, Lanzhou city, Gansu province, China, PC: 730000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46" w:type="dxa"/>
            <w:vAlign w:val="center"/>
          </w:tcPr>
          <w:p>
            <w:pPr>
              <w:jc w:val="center"/>
            </w:pPr>
            <w:r>
              <w:t>About the Organizer</w:t>
            </w:r>
          </w:p>
        </w:tc>
        <w:tc>
          <w:tcPr>
            <w:tcW w:w="8110" w:type="dxa"/>
            <w:gridSpan w:val="5"/>
          </w:tcPr>
          <w:p>
            <w:pPr>
              <w:pStyle w:val="28"/>
              <w:numPr>
                <w:ilvl w:val="0"/>
                <w:numId w:val="1"/>
              </w:numPr>
              <w:spacing w:before="156" w:beforeLines="50"/>
              <w:ind w:firstLineChars="0"/>
            </w:pPr>
            <w:r>
              <w:rPr>
                <w:b/>
              </w:rPr>
              <w:t>The Academy for International Business Officials</w:t>
            </w:r>
            <w:r>
              <w:t xml:space="preserve"> (AIBO)</w:t>
            </w:r>
          </w:p>
          <w:p>
            <w:pPr>
              <w:spacing w:before="156" w:beforeLines="50"/>
            </w:pPr>
            <w:r>
              <w:t>AIBO is an educational and training institution directly under the Ministry of Commerce of the People's Republic of China. Established in 1980, AIBO is located in Changping District, Beijing, about 30 kilometers from Beijing Capital International Airport. It boasts comprehensive infrastructure to provide services such as accommodation, catering, training and meetings for trainees.</w:t>
            </w:r>
          </w:p>
          <w:p>
            <w:pPr>
              <w:spacing w:before="156" w:beforeLines="50"/>
            </w:pPr>
            <w:r>
              <w:t>One of the main responsibilities of AIBO is to implement human resources development and cooperation projects, especially training courses for officials. The Academy serves as the main base for China's foreign aid training, offering both off-line and on-line training in China and overseas.</w:t>
            </w:r>
          </w:p>
          <w:p>
            <w:pPr>
              <w:spacing w:before="156" w:beforeLines="50"/>
            </w:pPr>
            <w:r>
              <w:t>Backed by the Ministry of Commerce and in close cooperation with China's top think tanks, research institutes and universities, AIBO brings together a large number of China's top experts and scholars to provide intellectual support for foreign aid training. It has developed a number of high-quality foreign aid training projects in the fields of trade and investment, international economic cooperation, governance and public management, which have proved to be fruitful.</w:t>
            </w:r>
          </w:p>
          <w:p>
            <w:pPr>
              <w:spacing w:before="156" w:beforeLines="50"/>
            </w:pPr>
            <w:r>
              <w:t>Since 1998, AIBO has successfully held over 2,000 training sessions for officials from developing countries (including 131 ministerial seminars), benefiting nearly 70,000 trainees from other developing countries around the world.</w:t>
            </w:r>
          </w:p>
          <w:p>
            <w:pPr>
              <w:spacing w:before="156" w:beforeLines="50"/>
            </w:pPr>
            <w:r>
              <w:t>AIBO will adhere to the guidance of Xi Jinping Thought on Socialism with Chinese Characteristics for a New Era, and take the important concepts, including a community with a shared future for mankind, pursuing the greater good and shared interests, and sincerity, real results, amity, good faith, mutual benefit and inclusiveness, as strategic guidance and fundamental principles to be followed. It will facilitate the joint efforts in implementing major initiatives such as the Belt and Road Initiative (BRI) and the Global Development Initiative (GDI), and continue to help developing countries accelerate their development by sharing China's experience and programs.</w:t>
            </w:r>
          </w:p>
          <w:p>
            <w:pPr>
              <w:pStyle w:val="28"/>
              <w:numPr>
                <w:ilvl w:val="0"/>
                <w:numId w:val="1"/>
              </w:numPr>
              <w:spacing w:before="156" w:beforeLines="50"/>
              <w:ind w:firstLineChars="0"/>
              <w:rPr>
                <w:b/>
                <w:szCs w:val="21"/>
              </w:rPr>
            </w:pPr>
            <w:r>
              <w:rPr>
                <w:b/>
                <w:szCs w:val="21"/>
              </w:rPr>
              <w:t>Gansu Academy for Water Conservancy (GAWC)</w:t>
            </w:r>
          </w:p>
          <w:p>
            <w:pPr>
              <w:spacing w:before="156" w:beforeLines="50"/>
              <w:rPr>
                <w:szCs w:val="21"/>
              </w:rPr>
            </w:pPr>
            <w:r>
              <w:rPr>
                <w:szCs w:val="21"/>
              </w:rPr>
              <w:t>GAWC was established in 1979, is scientific research academy mainly engages public welfare-oriented non-profit research activities, conduct water research and extension works to address the challenge facing on water for economic and social development of Gansu province. The academy includes hydrological water resources and environment institute, engineering water conservancy institute, rural water supply and irrigation institute, hydro-ecology institute, meanwhile the academy acts as National Base for International Cooperation on Rainwater Harvesting and High-efficient Water Utilization, National Secretariat of Rainwater Harvesting committee of Chinese Hydraulic Engineering Society Secretary, There are 55 staff inclusive 22 research professors, 17 senior engineers.</w:t>
            </w:r>
          </w:p>
          <w:p>
            <w:pPr>
              <w:spacing w:before="156" w:beforeLines="50"/>
              <w:rPr>
                <w:szCs w:val="21"/>
              </w:rPr>
            </w:pPr>
            <w:r>
              <w:rPr>
                <w:szCs w:val="21"/>
              </w:rPr>
              <w:t>Over the years, the academy has successfully undertaken more than 80 research topics sponsored by Ministry of Water Resources, Ministry of Science and Technology, Gansu Water Resources Bureau, Gansu Science and Technology Bureau, 30 research achievement has been verified to be domestic leading grade or international advanced level. The academy has won more than 30 scientific awards and invention patents at national, ministerial and provincial levels. More than one hundred technical papers has been published in the domestic and international academic journals, meanwhile, published 9 monographs, and presided and composed 2 national engineering norms. The academy equipped over 80 sets of advanced instrumental facilities for testing and/or experiment on field of hydrology, irrigation, soil moisture, infrastructure quality of water projects etc.</w:t>
            </w:r>
          </w:p>
          <w:p>
            <w:pPr>
              <w:spacing w:before="156" w:beforeLines="50"/>
            </w:pPr>
            <w:r>
              <w:rPr>
                <w:szCs w:val="21"/>
              </w:rPr>
              <w:t>In recent years, the academy attaches great importance to international cooperation and exchange, has successfully fulfilled 18 international cooperation projects, organized two international academic exchanges conference, contributed 12 overseas projects for technical assistance, conducted 32 external technical training courses. The academy rewarded grand prize on contest of “World Water Activity” organized on “3rd world Water Forum” in 2003. Presently, it plays a unique role on promotion of technical development and academic exchanges on rainwater harvesting in China, meanwhile acts a global leading role on extension and technique development on rainwater harvesting and utilization.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646" w:type="dxa"/>
            <w:vAlign w:val="center"/>
          </w:tcPr>
          <w:p/>
          <w:p>
            <w:pPr>
              <w:jc w:val="center"/>
            </w:pPr>
          </w:p>
          <w:p>
            <w:pPr>
              <w:jc w:val="center"/>
            </w:pPr>
          </w:p>
          <w:p>
            <w:pPr>
              <w:jc w:val="center"/>
            </w:pPr>
            <w:r>
              <w:t>About the Project</w:t>
            </w:r>
          </w:p>
          <w:p/>
        </w:tc>
        <w:tc>
          <w:tcPr>
            <w:tcW w:w="8110" w:type="dxa"/>
            <w:gridSpan w:val="5"/>
            <w:vAlign w:val="center"/>
          </w:tcPr>
          <w:p>
            <w:pPr>
              <w:spacing w:before="156" w:beforeLines="50"/>
              <w:rPr>
                <w:bCs/>
                <w:szCs w:val="21"/>
              </w:rPr>
            </w:pPr>
            <w:r>
              <w:rPr>
                <w:b/>
                <w:bCs/>
                <w:szCs w:val="21"/>
              </w:rPr>
              <w:t>Background:</w:t>
            </w:r>
            <w:r>
              <w:rPr>
                <w:bCs/>
                <w:szCs w:val="21"/>
              </w:rPr>
              <w:t xml:space="preserve"> Affected by the factors such as population growth, urbanization and climate change, the world is facing a worsening water crisis. It is estimated that 1.8 billion people will be threatened by water scarcity by 2030. Thus the international community places high importance to rainwater harvesting and utilization, using rainwater to supply rural drinking water, agricultural supplementary irrigation, and improve watershed ecosystem to achieve sustainable development and alleviate water shortage.</w:t>
            </w:r>
          </w:p>
          <w:p>
            <w:pPr>
              <w:spacing w:before="156" w:beforeLines="50"/>
              <w:rPr>
                <w:bCs/>
                <w:szCs w:val="21"/>
              </w:rPr>
            </w:pPr>
            <w:r>
              <w:rPr>
                <w:b/>
                <w:bCs/>
                <w:szCs w:val="21"/>
              </w:rPr>
              <w:t xml:space="preserve">Purpose: </w:t>
            </w:r>
            <w:r>
              <w:rPr>
                <w:bCs/>
                <w:szCs w:val="21"/>
              </w:rPr>
              <w:t>The training course aims to share the technology and successful experience of rainwater harvesting and utilization developed in China, with countries and regions where  facing the same water shortage problem. It seeks to build an international platform for the exchange of rainwater harvesting practices, alleviate the water crisi</w:t>
            </w:r>
            <w:r>
              <w:rPr>
                <w:bCs/>
                <w:color w:val="000000" w:themeColor="text1"/>
                <w:szCs w:val="21"/>
                <w14:textFill>
                  <w14:solidFill>
                    <w14:schemeClr w14:val="tx1"/>
                  </w14:solidFill>
                </w14:textFill>
              </w:rPr>
              <w:t>s in the BRI Partner Countries, promo</w:t>
            </w:r>
            <w:r>
              <w:rPr>
                <w:bCs/>
                <w:szCs w:val="21"/>
              </w:rPr>
              <w:t>te social and economic sustainable development, and improve people's livelihood.</w:t>
            </w:r>
          </w:p>
          <w:p>
            <w:pPr>
              <w:spacing w:before="156" w:beforeLines="50"/>
              <w:rPr>
                <w:bCs/>
                <w:szCs w:val="21"/>
              </w:rPr>
            </w:pPr>
            <w:r>
              <w:rPr>
                <w:b/>
                <w:bCs/>
                <w:szCs w:val="21"/>
              </w:rPr>
              <w:t xml:space="preserve">Main content of the training courses: </w:t>
            </w:r>
            <w:r>
              <w:rPr>
                <w:bCs/>
                <w:szCs w:val="21"/>
              </w:rPr>
              <w:t xml:space="preserve">The content of the training include 4 </w:t>
            </w:r>
            <w:bookmarkStart w:id="0" w:name="OLE_LINK17"/>
            <w:r>
              <w:rPr>
                <w:bCs/>
                <w:szCs w:val="21"/>
              </w:rPr>
              <w:t>categories</w:t>
            </w:r>
            <w:bookmarkEnd w:id="0"/>
            <w:r>
              <w:rPr>
                <w:bCs/>
                <w:szCs w:val="21"/>
              </w:rPr>
              <w:t xml:space="preserve"> i.e. public courses, professional courses, on-site tutorship and exchanges seminar, field visits</w:t>
            </w:r>
            <w:r>
              <w:rPr>
                <w:rFonts w:hint="eastAsia"/>
                <w:bCs/>
                <w:szCs w:val="21"/>
              </w:rPr>
              <w:t>.</w:t>
            </w:r>
            <w:r>
              <w:rPr>
                <w:bCs/>
                <w:szCs w:val="21"/>
              </w:rPr>
              <w:t xml:space="preserve"> </w:t>
            </w:r>
          </w:p>
          <w:p>
            <w:pPr>
              <w:pStyle w:val="28"/>
              <w:numPr>
                <w:ilvl w:val="0"/>
                <w:numId w:val="2"/>
              </w:numPr>
              <w:spacing w:before="156" w:beforeLines="50"/>
              <w:ind w:firstLineChars="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Public courses</w:t>
            </w:r>
            <w:r>
              <w:rPr>
                <w:bCs/>
                <w:color w:val="000000" w:themeColor="text1"/>
                <w:szCs w:val="21"/>
                <w14:textFill>
                  <w14:solidFill>
                    <w14:schemeClr w14:val="tx1"/>
                  </w14:solidFill>
                </w14:textFill>
              </w:rPr>
              <w:t xml:space="preserve"> </w:t>
            </w:r>
            <w:r>
              <w:rPr>
                <w:b/>
                <w:bCs/>
                <w:color w:val="000000" w:themeColor="text1"/>
                <w:szCs w:val="21"/>
                <w14:textFill>
                  <w14:solidFill>
                    <w14:schemeClr w14:val="tx1"/>
                  </w14:solidFill>
                </w14:textFill>
              </w:rPr>
              <w:t>mainly include:</w:t>
            </w:r>
            <w:r>
              <w:rPr>
                <w:bCs/>
                <w:color w:val="000000" w:themeColor="text1"/>
                <w:szCs w:val="21"/>
                <w14:textFill>
                  <w14:solidFill>
                    <w14:schemeClr w14:val="tx1"/>
                  </w14:solidFill>
                </w14:textFill>
              </w:rPr>
              <w:t xml:space="preserve"> Overview of China’s national condition, Global development and trend of Rainwater harvesting. </w:t>
            </w:r>
          </w:p>
          <w:p>
            <w:pPr>
              <w:pStyle w:val="28"/>
              <w:numPr>
                <w:ilvl w:val="0"/>
                <w:numId w:val="2"/>
              </w:numPr>
              <w:spacing w:before="156" w:beforeLines="50"/>
              <w:ind w:firstLineChars="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Professional courses mainly include:</w:t>
            </w:r>
            <w:r>
              <w:rPr>
                <w:bCs/>
                <w:color w:val="000000" w:themeColor="text1"/>
                <w:szCs w:val="21"/>
                <w14:textFill>
                  <w14:solidFill>
                    <w14:schemeClr w14:val="tx1"/>
                  </w14:solidFill>
                </w14:textFill>
              </w:rPr>
              <w:t xml:space="preserve"> Planning of RWH system, Design and Dimensioning RWH system, Supplementary irrigation technology of RWH, Construction method of RWH system, Integrated agricultural approach for RWH, Technology of r</w:t>
            </w:r>
            <w:r>
              <w:rPr>
                <w:rFonts w:hint="eastAsia"/>
                <w:bCs/>
                <w:color w:val="000000" w:themeColor="text1"/>
                <w:szCs w:val="21"/>
                <w14:textFill>
                  <w14:solidFill>
                    <w14:schemeClr w14:val="tx1"/>
                  </w14:solidFill>
                </w14:textFill>
              </w:rPr>
              <w:t>unoff farmin</w:t>
            </w:r>
            <w:r>
              <w:rPr>
                <w:bCs/>
                <w:color w:val="000000" w:themeColor="text1"/>
                <w:szCs w:val="21"/>
                <w14:textFill>
                  <w14:solidFill>
                    <w14:schemeClr w14:val="tx1"/>
                  </w14:solidFill>
                </w14:textFill>
              </w:rPr>
              <w:t>g</w:t>
            </w:r>
            <w:r>
              <w:rPr>
                <w:rFonts w:hint="eastAsia"/>
                <w:bCs/>
                <w:color w:val="000000" w:themeColor="text1"/>
                <w:szCs w:val="21"/>
                <w14:textFill>
                  <w14:solidFill>
                    <w14:schemeClr w14:val="tx1"/>
                  </w14:solidFill>
                </w14:textFill>
              </w:rPr>
              <w:t>,</w:t>
            </w:r>
            <w:r>
              <w:rPr>
                <w:bCs/>
                <w:color w:val="000000" w:themeColor="text1"/>
                <w:szCs w:val="21"/>
                <w14:textFill>
                  <w14:solidFill>
                    <w14:schemeClr w14:val="tx1"/>
                  </w14:solidFill>
                </w14:textFill>
              </w:rPr>
              <w:t xml:space="preserve"> Planning and design of terrace, Rainwater utilization and desertification control, Evaluation methods of RWH potential, Water quality management and purification technology of RWH, Economic evaluation of rainwater utilization, Mechanism and forecast of urban storm-water flood; Construction technology of sponge city for harvesting of rainwater, Case study of RWH demonstration in Kenya.</w:t>
            </w:r>
          </w:p>
          <w:p>
            <w:pPr>
              <w:pStyle w:val="28"/>
              <w:numPr>
                <w:ilvl w:val="0"/>
                <w:numId w:val="2"/>
              </w:numPr>
              <w:spacing w:before="156" w:beforeLines="50"/>
              <w:ind w:firstLineChars="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On site tutorship and exchange discussions</w:t>
            </w:r>
            <w:r>
              <w:rPr>
                <w:bCs/>
                <w:color w:val="000000" w:themeColor="text1"/>
                <w:szCs w:val="21"/>
                <w14:textFill>
                  <w14:solidFill>
                    <w14:schemeClr w14:val="tx1"/>
                  </w14:solidFill>
                </w14:textFill>
              </w:rPr>
              <w:t xml:space="preserve"> </w:t>
            </w:r>
            <w:r>
              <w:rPr>
                <w:b/>
                <w:bCs/>
                <w:color w:val="000000" w:themeColor="text1"/>
                <w:szCs w:val="21"/>
                <w14:textFill>
                  <w14:solidFill>
                    <w14:schemeClr w14:val="tx1"/>
                  </w14:solidFill>
                </w14:textFill>
              </w:rPr>
              <w:t>mainly include</w:t>
            </w:r>
            <w:r>
              <w:rPr>
                <w:bCs/>
                <w:color w:val="000000" w:themeColor="text1"/>
                <w:szCs w:val="21"/>
                <w14:textFill>
                  <w14:solidFill>
                    <w14:schemeClr w14:val="tx1"/>
                  </w14:solidFill>
                </w14:textFill>
              </w:rPr>
              <w:t xml:space="preserve">: RWH for drinking water supply project in Huining county of Baiyin city, RWH supplementary irrigation and facilitated agriculture project, </w:t>
            </w:r>
            <w:r>
              <w:rPr>
                <w:rFonts w:hint="eastAsia"/>
                <w:bCs/>
                <w:color w:val="000000" w:themeColor="text1"/>
                <w:szCs w:val="21"/>
                <w14:textFill>
                  <w14:solidFill>
                    <w14:schemeClr w14:val="tx1"/>
                  </w14:solidFill>
                </w14:textFill>
              </w:rPr>
              <w:t xml:space="preserve">Rainwater Utilization and Ecological Governance Project </w:t>
            </w:r>
            <w:r>
              <w:rPr>
                <w:bCs/>
                <w:color w:val="000000" w:themeColor="text1"/>
                <w:szCs w:val="21"/>
                <w14:textFill>
                  <w14:solidFill>
                    <w14:schemeClr w14:val="tx1"/>
                  </w14:solidFill>
                </w14:textFill>
              </w:rPr>
              <w:t xml:space="preserve">in Anding district, Dingxi city, Exchange discussion of equipment and facility for water conservancy, Share and exchange of RWH experience between participants, etc. </w:t>
            </w:r>
          </w:p>
          <w:p>
            <w:pPr>
              <w:pStyle w:val="28"/>
              <w:numPr>
                <w:ilvl w:val="0"/>
                <w:numId w:val="2"/>
              </w:numPr>
              <w:spacing w:before="156" w:beforeLines="50"/>
              <w:ind w:firstLineChars="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The field visit mainly</w:t>
            </w:r>
            <w:r>
              <w:rPr>
                <w:bCs/>
                <w:color w:val="000000" w:themeColor="text1"/>
                <w:szCs w:val="21"/>
                <w14:textFill>
                  <w14:solidFill>
                    <w14:schemeClr w14:val="tx1"/>
                  </w14:solidFill>
                </w14:textFill>
              </w:rPr>
              <w:t xml:space="preserve"> </w:t>
            </w:r>
            <w:r>
              <w:rPr>
                <w:b/>
                <w:bCs/>
                <w:color w:val="000000" w:themeColor="text1"/>
                <w:szCs w:val="21"/>
                <w14:textFill>
                  <w14:solidFill>
                    <w14:schemeClr w14:val="tx1"/>
                  </w14:solidFill>
                </w14:textFill>
              </w:rPr>
              <w:t>includes</w:t>
            </w:r>
            <w:r>
              <w:rPr>
                <w:bCs/>
                <w:color w:val="000000" w:themeColor="text1"/>
                <w:szCs w:val="21"/>
                <w14:textFill>
                  <w14:solidFill>
                    <w14:schemeClr w14:val="tx1"/>
                  </w14:solidFill>
                </w14:textFill>
              </w:rPr>
              <w:t>: visit to Shaanxi Province for Rainwater and flood utilization demonstration project in Xianyang Lake, Sponge city construction pilot Project in Xixian New Area, and Integrated use of rainwater and wastewater reclaimed project; visit to Qinghai province for Small water supply project of photovoltaic pumping systems and Qinghai folk culture—Ta’er Temple in Xining city, visit to Guanghe county, Linxia prefecture for Rainfed farming demonstration project with application plastic film in double ridge and ditch sowing, and a drinking water supply project, and visit Gansu Science &amp; Technology Museum and Lanzhou Waterwheel Expo Park, visit New Area of Lanzhou city for Yingdaruqin Water diversion project, Yasheng Yamit irrigation manufactory company, and Agricultural irrigation project, etc.</w:t>
            </w:r>
          </w:p>
          <w:p>
            <w:pPr>
              <w:spacing w:before="156" w:beforeLines="50"/>
              <w:rPr>
                <w:bCs/>
                <w:szCs w:val="21"/>
              </w:rPr>
            </w:pPr>
            <w:r>
              <w:rPr>
                <w:b/>
                <w:bCs/>
                <w:szCs w:val="21"/>
              </w:rPr>
              <w:t xml:space="preserve">Method: </w:t>
            </w:r>
            <w:r>
              <w:rPr>
                <w:bCs/>
                <w:szCs w:val="21"/>
              </w:rPr>
              <w:t>The program will invite renowned experts and scholars to give lectures on specific topics; organize discussions and exchanges among participants and experts; and arrange for participants to conduct field visits and exchanges in Gansu and other neighbor provinces.</w:t>
            </w:r>
          </w:p>
          <w:p>
            <w:pPr>
              <w:spacing w:before="156" w:beforeLines="50"/>
              <w:rPr>
                <w:bCs/>
                <w:szCs w:val="21"/>
              </w:rPr>
            </w:pPr>
            <w:r>
              <w:rPr>
                <w:b/>
                <w:bCs/>
                <w:color w:val="000000"/>
                <w:szCs w:val="21"/>
              </w:rPr>
              <w:t xml:space="preserve">Materials that </w:t>
            </w:r>
            <w:r>
              <w:rPr>
                <w:b/>
                <w:color w:val="000000"/>
              </w:rPr>
              <w:t>participants</w:t>
            </w:r>
            <w:r>
              <w:rPr>
                <w:b/>
                <w:bCs/>
                <w:color w:val="000000"/>
                <w:szCs w:val="21"/>
              </w:rPr>
              <w:t xml:space="preserve"> need to prepare:</w:t>
            </w:r>
            <w:r>
              <w:t xml:space="preserve"> </w:t>
            </w:r>
            <w:r>
              <w:rPr>
                <w:bCs/>
                <w:color w:val="000000"/>
                <w:szCs w:val="21"/>
              </w:rPr>
              <w:t>In order to facilitate discussions and exchanges with the lecturers and experts, the participants are expected to prepare the exchange materials related to the topics of his/her country, such as</w:t>
            </w:r>
            <w:r>
              <w:rPr>
                <w:rFonts w:hint="eastAsia"/>
                <w:bCs/>
                <w:color w:val="000000"/>
                <w:szCs w:val="21"/>
              </w:rPr>
              <w:t xml:space="preserve"> </w:t>
            </w:r>
            <w:r>
              <w:rPr>
                <w:bCs/>
                <w:color w:val="000000"/>
                <w:szCs w:val="21"/>
              </w:rPr>
              <w:t xml:space="preserve">country brief, </w:t>
            </w:r>
            <w:r>
              <w:rPr>
                <w:rFonts w:hint="eastAsia"/>
                <w:bCs/>
                <w:color w:val="000000"/>
                <w:szCs w:val="21"/>
              </w:rPr>
              <w:t xml:space="preserve">situation of </w:t>
            </w:r>
            <w:r>
              <w:rPr>
                <w:bCs/>
                <w:color w:val="000000"/>
                <w:szCs w:val="21"/>
              </w:rPr>
              <w:t>rainwater development,</w:t>
            </w:r>
            <w:r>
              <w:rPr>
                <w:rFonts w:hint="eastAsia"/>
                <w:bCs/>
                <w:color w:val="000000"/>
                <w:szCs w:val="21"/>
              </w:rPr>
              <w:t xml:space="preserve"> </w:t>
            </w:r>
            <w:r>
              <w:rPr>
                <w:bCs/>
                <w:color w:val="000000"/>
                <w:szCs w:val="21"/>
              </w:rPr>
              <w:t>hydrology/ metrology data/information.</w:t>
            </w:r>
          </w:p>
          <w:p>
            <w:pPr>
              <w:rPr>
                <w:bCs/>
                <w:szCs w:val="21"/>
              </w:rPr>
            </w:pPr>
          </w:p>
          <w:p>
            <w:pPr>
              <w:rPr>
                <w:bCs/>
                <w:szCs w:val="21"/>
              </w:rPr>
            </w:pPr>
            <w:r>
              <w:rPr>
                <w:bCs/>
                <w:szCs w:val="21"/>
              </w:rPr>
              <w:t>(The above is a preliminary schedule and may be adjusted based on actual circumstances. The final version will be provided upon arrival in China)</w:t>
            </w:r>
          </w:p>
          <w:p>
            <w:pPr>
              <w:rPr>
                <w:bCs/>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646" w:type="dxa"/>
            <w:vAlign w:val="center"/>
          </w:tcPr>
          <w:p>
            <w:r>
              <w:t>Notes</w:t>
            </w:r>
          </w:p>
        </w:tc>
        <w:tc>
          <w:tcPr>
            <w:tcW w:w="8110" w:type="dxa"/>
            <w:gridSpan w:val="5"/>
            <w:vAlign w:val="center"/>
          </w:tcPr>
          <w:p>
            <w:pPr>
              <w:pStyle w:val="28"/>
              <w:numPr>
                <w:ilvl w:val="0"/>
                <w:numId w:val="3"/>
              </w:numPr>
              <w:ind w:firstLineChars="0"/>
              <w:rPr>
                <w:bCs/>
                <w:szCs w:val="21"/>
              </w:rPr>
            </w:pPr>
            <w:r>
              <w:rPr>
                <w:szCs w:val="21"/>
              </w:rPr>
              <w:t>Please prepare your passport, Chinese visa and third-party transit country visa (if necessary) before coming to China.</w:t>
            </w:r>
          </w:p>
          <w:p>
            <w:pPr>
              <w:pStyle w:val="28"/>
              <w:numPr>
                <w:ilvl w:val="0"/>
                <w:numId w:val="3"/>
              </w:numPr>
              <w:ind w:firstLineChars="0"/>
              <w:rPr>
                <w:bCs/>
                <w:szCs w:val="21"/>
              </w:rPr>
            </w:pPr>
            <w:r>
              <w:rPr>
                <w:szCs w:val="21"/>
              </w:rPr>
              <w:t>If you cannot depart on time due to special circumstances, or if there is a flight delay during the transfer, please contact the Chinese embassy or the organizer in time and inform the staff of the new flight No. and time of arrival in airport so that the staff can arrange pick-up for you.</w:t>
            </w:r>
          </w:p>
          <w:p>
            <w:pPr>
              <w:pStyle w:val="28"/>
              <w:numPr>
                <w:ilvl w:val="0"/>
                <w:numId w:val="3"/>
              </w:numPr>
              <w:ind w:firstLineChars="0"/>
              <w:rPr>
                <w:bCs/>
                <w:szCs w:val="21"/>
              </w:rPr>
            </w:pPr>
            <w:r>
              <w:rPr>
                <w:szCs w:val="21"/>
              </w:rPr>
              <w:t>In principle, it is not allowed to change the air tickets to China. If you really need to do so, please contact the Chinese embassy and follow the procedures to change your ticket. If you change the air ticket without consent, the organizer will report it to the Chinese embassy and the costs and responsibilities therefore incurred shall be borne by yourself.</w:t>
            </w:r>
          </w:p>
          <w:p>
            <w:pPr>
              <w:pStyle w:val="28"/>
              <w:numPr>
                <w:ilvl w:val="0"/>
                <w:numId w:val="3"/>
              </w:numPr>
              <w:ind w:firstLineChars="0"/>
            </w:pPr>
            <w:r>
              <w:t>After claiming your luggage, please wait patiently at the international arrival exit (or domestic arrival exit) and the staff will pick you up with a pick-up board with your name on it. If you wait more than 15 minutes, please call the organizer immediately.</w:t>
            </w:r>
          </w:p>
          <w:p>
            <w:pPr>
              <w:pStyle w:val="28"/>
              <w:numPr>
                <w:ilvl w:val="0"/>
                <w:numId w:val="3"/>
              </w:numPr>
              <w:ind w:firstLineChars="0"/>
            </w:pPr>
            <w:r>
              <w:t>In case of lost luggage to be registered with the airline, please first communicate with the organizer to confirm the luggage delivery location and then fill in the registration form.</w:t>
            </w:r>
          </w:p>
          <w:p>
            <w:pPr>
              <w:pStyle w:val="28"/>
              <w:numPr>
                <w:ilvl w:val="0"/>
                <w:numId w:val="3"/>
              </w:numPr>
              <w:ind w:firstLineChars="0"/>
              <w:rPr>
                <w:b/>
                <w:bCs/>
                <w:szCs w:val="21"/>
              </w:rPr>
            </w:pPr>
            <w:r>
              <w:t>Dress code: Please pay attention to the weather conditions of the host city during the seminar and bring appropriate clothes. For important occasions, please dress formally (national costumes are acceptable).</w:t>
            </w:r>
          </w:p>
          <w:p>
            <w:pPr>
              <w:pStyle w:val="28"/>
              <w:ind w:left="420" w:firstLine="0" w:firstLineChars="0"/>
              <w:rPr>
                <w:b/>
                <w:bCs/>
                <w:szCs w:val="21"/>
              </w:rPr>
            </w:pPr>
          </w:p>
        </w:tc>
      </w:tr>
    </w:tbl>
    <w:p/>
    <w:p/>
    <w:sectPr>
      <w:footerReference r:id="rId3" w:type="default"/>
      <w:footerReference r:id="rId4" w:type="even"/>
      <w:pgSz w:w="11906" w:h="16838"/>
      <w:pgMar w:top="1474" w:right="1588"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Align="top"/>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4</w:t>
    </w:r>
    <w:r>
      <w:rPr>
        <w:sz w:val="21"/>
        <w:szCs w:val="21"/>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Align="top"/>
      <w:rPr>
        <w:rStyle w:val="13"/>
      </w:rPr>
    </w:pPr>
    <w:r>
      <w:fldChar w:fldCharType="begin"/>
    </w:r>
    <w:r>
      <w:rPr>
        <w:rStyle w:val="13"/>
      </w:rPr>
      <w:instrText xml:space="preserve">PAGE  </w:instrText>
    </w:r>
    <w: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34E01"/>
    <w:multiLevelType w:val="multilevel"/>
    <w:tmpl w:val="37D34E01"/>
    <w:lvl w:ilvl="0" w:tentative="0">
      <w:start w:val="1"/>
      <w:numFmt w:val="decimal"/>
      <w:lvlText w:val="%1."/>
      <w:lvlJc w:val="left"/>
      <w:pPr>
        <w:ind w:left="420" w:hanging="420"/>
      </w:pPr>
      <w:rPr>
        <w:rFonts w:hint="default"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D371673"/>
    <w:multiLevelType w:val="multilevel"/>
    <w:tmpl w:val="6D371673"/>
    <w:lvl w:ilvl="0" w:tentative="0">
      <w:start w:val="1"/>
      <w:numFmt w:val="decimal"/>
      <w:lvlText w:val="%1."/>
      <w:lvlJc w:val="left"/>
      <w:pPr>
        <w:ind w:left="782" w:hanging="360"/>
      </w:pPr>
      <w:rPr>
        <w:rFonts w:hint="default"/>
        <w:b/>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2">
    <w:nsid w:val="70775B0A"/>
    <w:multiLevelType w:val="multilevel"/>
    <w:tmpl w:val="70775B0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yMDZiODllZjQ2NDAzOTMwZmQzNjEyOGFkZGRjMjAifQ=="/>
  </w:docVars>
  <w:rsids>
    <w:rsidRoot w:val="00172A27"/>
    <w:rsid w:val="000328A4"/>
    <w:rsid w:val="00056295"/>
    <w:rsid w:val="000672E5"/>
    <w:rsid w:val="0007792C"/>
    <w:rsid w:val="00092DC9"/>
    <w:rsid w:val="00095795"/>
    <w:rsid w:val="000A13D7"/>
    <w:rsid w:val="000D2873"/>
    <w:rsid w:val="000D4E41"/>
    <w:rsid w:val="000E3D18"/>
    <w:rsid w:val="000E4B0C"/>
    <w:rsid w:val="000F5045"/>
    <w:rsid w:val="000F7758"/>
    <w:rsid w:val="00104B5E"/>
    <w:rsid w:val="00105598"/>
    <w:rsid w:val="001120F8"/>
    <w:rsid w:val="00115D99"/>
    <w:rsid w:val="001304C2"/>
    <w:rsid w:val="00137068"/>
    <w:rsid w:val="00137768"/>
    <w:rsid w:val="001415F2"/>
    <w:rsid w:val="00142441"/>
    <w:rsid w:val="00142BB9"/>
    <w:rsid w:val="00165919"/>
    <w:rsid w:val="00166754"/>
    <w:rsid w:val="00172A27"/>
    <w:rsid w:val="001745C9"/>
    <w:rsid w:val="0018583C"/>
    <w:rsid w:val="00193AA3"/>
    <w:rsid w:val="001A0366"/>
    <w:rsid w:val="001B0F85"/>
    <w:rsid w:val="001B17C6"/>
    <w:rsid w:val="001D6233"/>
    <w:rsid w:val="001E1B15"/>
    <w:rsid w:val="001F1A1A"/>
    <w:rsid w:val="00200FCD"/>
    <w:rsid w:val="0021177F"/>
    <w:rsid w:val="002268C0"/>
    <w:rsid w:val="00245761"/>
    <w:rsid w:val="00246FD6"/>
    <w:rsid w:val="00263A72"/>
    <w:rsid w:val="00271208"/>
    <w:rsid w:val="0029586B"/>
    <w:rsid w:val="002A4401"/>
    <w:rsid w:val="002A4F8E"/>
    <w:rsid w:val="002F088D"/>
    <w:rsid w:val="003037C4"/>
    <w:rsid w:val="0031199D"/>
    <w:rsid w:val="003159B4"/>
    <w:rsid w:val="00321B8E"/>
    <w:rsid w:val="00325D3F"/>
    <w:rsid w:val="00330D1F"/>
    <w:rsid w:val="00353495"/>
    <w:rsid w:val="003602DA"/>
    <w:rsid w:val="003842F3"/>
    <w:rsid w:val="003922BC"/>
    <w:rsid w:val="003A070A"/>
    <w:rsid w:val="003A64C3"/>
    <w:rsid w:val="003B42DF"/>
    <w:rsid w:val="003B4994"/>
    <w:rsid w:val="003B74E7"/>
    <w:rsid w:val="003C2468"/>
    <w:rsid w:val="003C32C2"/>
    <w:rsid w:val="003E5991"/>
    <w:rsid w:val="003F1F4E"/>
    <w:rsid w:val="003F44F5"/>
    <w:rsid w:val="003F6174"/>
    <w:rsid w:val="00400CC4"/>
    <w:rsid w:val="004143E0"/>
    <w:rsid w:val="00436E3E"/>
    <w:rsid w:val="0044134B"/>
    <w:rsid w:val="00447C27"/>
    <w:rsid w:val="004632A4"/>
    <w:rsid w:val="0046473C"/>
    <w:rsid w:val="00472483"/>
    <w:rsid w:val="00475231"/>
    <w:rsid w:val="00484412"/>
    <w:rsid w:val="004920DC"/>
    <w:rsid w:val="004A50DC"/>
    <w:rsid w:val="004B6EAB"/>
    <w:rsid w:val="004B736A"/>
    <w:rsid w:val="004D4AE9"/>
    <w:rsid w:val="004E732D"/>
    <w:rsid w:val="004E752E"/>
    <w:rsid w:val="00502F5D"/>
    <w:rsid w:val="00520658"/>
    <w:rsid w:val="00525B8D"/>
    <w:rsid w:val="005301C6"/>
    <w:rsid w:val="00535BD6"/>
    <w:rsid w:val="0055541A"/>
    <w:rsid w:val="00565115"/>
    <w:rsid w:val="005669B9"/>
    <w:rsid w:val="0057537E"/>
    <w:rsid w:val="0058006A"/>
    <w:rsid w:val="00596A3E"/>
    <w:rsid w:val="005B2668"/>
    <w:rsid w:val="005C0CA4"/>
    <w:rsid w:val="005C7928"/>
    <w:rsid w:val="005E40E4"/>
    <w:rsid w:val="005F60B5"/>
    <w:rsid w:val="00605BFE"/>
    <w:rsid w:val="00606339"/>
    <w:rsid w:val="0061310B"/>
    <w:rsid w:val="00624808"/>
    <w:rsid w:val="006301D4"/>
    <w:rsid w:val="00633C01"/>
    <w:rsid w:val="00636057"/>
    <w:rsid w:val="00665390"/>
    <w:rsid w:val="00672FF8"/>
    <w:rsid w:val="00680294"/>
    <w:rsid w:val="00680796"/>
    <w:rsid w:val="0068117F"/>
    <w:rsid w:val="0068169A"/>
    <w:rsid w:val="00691F4A"/>
    <w:rsid w:val="006B2E40"/>
    <w:rsid w:val="006C06CD"/>
    <w:rsid w:val="006C7F23"/>
    <w:rsid w:val="006D5AFC"/>
    <w:rsid w:val="006F5299"/>
    <w:rsid w:val="0070716E"/>
    <w:rsid w:val="00721458"/>
    <w:rsid w:val="007309C4"/>
    <w:rsid w:val="00732078"/>
    <w:rsid w:val="00736A65"/>
    <w:rsid w:val="00750315"/>
    <w:rsid w:val="00767FEF"/>
    <w:rsid w:val="00776AA5"/>
    <w:rsid w:val="00786480"/>
    <w:rsid w:val="00787DFF"/>
    <w:rsid w:val="00792494"/>
    <w:rsid w:val="007B43BA"/>
    <w:rsid w:val="007B67B1"/>
    <w:rsid w:val="007C0846"/>
    <w:rsid w:val="007C540D"/>
    <w:rsid w:val="007D2922"/>
    <w:rsid w:val="007D3FA0"/>
    <w:rsid w:val="007E53AB"/>
    <w:rsid w:val="007F259F"/>
    <w:rsid w:val="007F760A"/>
    <w:rsid w:val="007F7ABA"/>
    <w:rsid w:val="00810FD6"/>
    <w:rsid w:val="00826C50"/>
    <w:rsid w:val="00853838"/>
    <w:rsid w:val="0085594C"/>
    <w:rsid w:val="00860828"/>
    <w:rsid w:val="0087568C"/>
    <w:rsid w:val="008852F5"/>
    <w:rsid w:val="008A3ABB"/>
    <w:rsid w:val="008A4860"/>
    <w:rsid w:val="008B0009"/>
    <w:rsid w:val="008B3D0A"/>
    <w:rsid w:val="008E167D"/>
    <w:rsid w:val="00916C85"/>
    <w:rsid w:val="00923B58"/>
    <w:rsid w:val="009519D2"/>
    <w:rsid w:val="00960F29"/>
    <w:rsid w:val="0097049D"/>
    <w:rsid w:val="009820BD"/>
    <w:rsid w:val="009A05FD"/>
    <w:rsid w:val="009B76AB"/>
    <w:rsid w:val="009C302C"/>
    <w:rsid w:val="009C4FB7"/>
    <w:rsid w:val="009C649C"/>
    <w:rsid w:val="009D59A7"/>
    <w:rsid w:val="009E2F87"/>
    <w:rsid w:val="009E42F9"/>
    <w:rsid w:val="00A02CA5"/>
    <w:rsid w:val="00A04B1D"/>
    <w:rsid w:val="00A055C8"/>
    <w:rsid w:val="00A062D4"/>
    <w:rsid w:val="00A1114E"/>
    <w:rsid w:val="00A16E37"/>
    <w:rsid w:val="00A231C7"/>
    <w:rsid w:val="00A30FB2"/>
    <w:rsid w:val="00A36D60"/>
    <w:rsid w:val="00A460F4"/>
    <w:rsid w:val="00A47A23"/>
    <w:rsid w:val="00A57F0E"/>
    <w:rsid w:val="00A61177"/>
    <w:rsid w:val="00A6629A"/>
    <w:rsid w:val="00A72162"/>
    <w:rsid w:val="00A81F89"/>
    <w:rsid w:val="00A83F8D"/>
    <w:rsid w:val="00A919FD"/>
    <w:rsid w:val="00A97EF1"/>
    <w:rsid w:val="00AB2505"/>
    <w:rsid w:val="00AD5A48"/>
    <w:rsid w:val="00AE144B"/>
    <w:rsid w:val="00B07FB0"/>
    <w:rsid w:val="00B10F00"/>
    <w:rsid w:val="00B25997"/>
    <w:rsid w:val="00B26728"/>
    <w:rsid w:val="00B469F2"/>
    <w:rsid w:val="00B471DC"/>
    <w:rsid w:val="00B533FC"/>
    <w:rsid w:val="00B614C1"/>
    <w:rsid w:val="00B62642"/>
    <w:rsid w:val="00B66A9C"/>
    <w:rsid w:val="00B87DE5"/>
    <w:rsid w:val="00B94B84"/>
    <w:rsid w:val="00BB717E"/>
    <w:rsid w:val="00BC1DA8"/>
    <w:rsid w:val="00BD68D2"/>
    <w:rsid w:val="00BD7F17"/>
    <w:rsid w:val="00BE4556"/>
    <w:rsid w:val="00BE7D6B"/>
    <w:rsid w:val="00C031F4"/>
    <w:rsid w:val="00C1648A"/>
    <w:rsid w:val="00C20DF5"/>
    <w:rsid w:val="00C231DC"/>
    <w:rsid w:val="00C31CAA"/>
    <w:rsid w:val="00C44DE1"/>
    <w:rsid w:val="00C50621"/>
    <w:rsid w:val="00C72B05"/>
    <w:rsid w:val="00C76498"/>
    <w:rsid w:val="00C7782E"/>
    <w:rsid w:val="00C85383"/>
    <w:rsid w:val="00CA14B5"/>
    <w:rsid w:val="00CB7023"/>
    <w:rsid w:val="00CC2818"/>
    <w:rsid w:val="00CD3A42"/>
    <w:rsid w:val="00CE3D9C"/>
    <w:rsid w:val="00CE4E74"/>
    <w:rsid w:val="00CE60EE"/>
    <w:rsid w:val="00CF36B8"/>
    <w:rsid w:val="00CF41FD"/>
    <w:rsid w:val="00CF538F"/>
    <w:rsid w:val="00D32A7E"/>
    <w:rsid w:val="00D34DCA"/>
    <w:rsid w:val="00D40E07"/>
    <w:rsid w:val="00D43FB1"/>
    <w:rsid w:val="00D465D4"/>
    <w:rsid w:val="00D47762"/>
    <w:rsid w:val="00D54909"/>
    <w:rsid w:val="00D54CE8"/>
    <w:rsid w:val="00D6226C"/>
    <w:rsid w:val="00D72AA4"/>
    <w:rsid w:val="00D75038"/>
    <w:rsid w:val="00D83528"/>
    <w:rsid w:val="00DB25E6"/>
    <w:rsid w:val="00DB300E"/>
    <w:rsid w:val="00DB3171"/>
    <w:rsid w:val="00DB77B4"/>
    <w:rsid w:val="00DD04D3"/>
    <w:rsid w:val="00DD0C0B"/>
    <w:rsid w:val="00DD2915"/>
    <w:rsid w:val="00DD2E95"/>
    <w:rsid w:val="00DD4178"/>
    <w:rsid w:val="00DD6E19"/>
    <w:rsid w:val="00DE6209"/>
    <w:rsid w:val="00DF1D63"/>
    <w:rsid w:val="00E064E5"/>
    <w:rsid w:val="00E1211E"/>
    <w:rsid w:val="00E150E9"/>
    <w:rsid w:val="00E60DF2"/>
    <w:rsid w:val="00E63DA1"/>
    <w:rsid w:val="00E713B5"/>
    <w:rsid w:val="00E730E4"/>
    <w:rsid w:val="00E8442B"/>
    <w:rsid w:val="00EB4E3F"/>
    <w:rsid w:val="00EC685E"/>
    <w:rsid w:val="00EC6B75"/>
    <w:rsid w:val="00EE0B21"/>
    <w:rsid w:val="00EE1AA7"/>
    <w:rsid w:val="00EE34B1"/>
    <w:rsid w:val="00EF17DC"/>
    <w:rsid w:val="00F0690B"/>
    <w:rsid w:val="00F15F30"/>
    <w:rsid w:val="00F2115C"/>
    <w:rsid w:val="00F22183"/>
    <w:rsid w:val="00F72DAF"/>
    <w:rsid w:val="00F7701E"/>
    <w:rsid w:val="00F9702E"/>
    <w:rsid w:val="00FB3728"/>
    <w:rsid w:val="00FC1B49"/>
    <w:rsid w:val="00FC2C53"/>
    <w:rsid w:val="00FD473C"/>
    <w:rsid w:val="00FF25AD"/>
    <w:rsid w:val="00FF6A0C"/>
    <w:rsid w:val="0AD24C5E"/>
    <w:rsid w:val="0D004C93"/>
    <w:rsid w:val="0FC1401D"/>
    <w:rsid w:val="19720CC7"/>
    <w:rsid w:val="1A63710A"/>
    <w:rsid w:val="214E366E"/>
    <w:rsid w:val="26E33204"/>
    <w:rsid w:val="295E4DC4"/>
    <w:rsid w:val="2BA27488"/>
    <w:rsid w:val="2C302A48"/>
    <w:rsid w:val="2DCE2518"/>
    <w:rsid w:val="31BA14CA"/>
    <w:rsid w:val="322946F3"/>
    <w:rsid w:val="34C464BE"/>
    <w:rsid w:val="39BA6046"/>
    <w:rsid w:val="3A4C05C0"/>
    <w:rsid w:val="3BAF6A15"/>
    <w:rsid w:val="3ED4071F"/>
    <w:rsid w:val="3FFB686C"/>
    <w:rsid w:val="45505AB1"/>
    <w:rsid w:val="477B19AA"/>
    <w:rsid w:val="480F3A01"/>
    <w:rsid w:val="4BEA46CA"/>
    <w:rsid w:val="51C54C50"/>
    <w:rsid w:val="598B2218"/>
    <w:rsid w:val="5C3E1D13"/>
    <w:rsid w:val="5C5D64D0"/>
    <w:rsid w:val="5D9E3405"/>
    <w:rsid w:val="5DED3BE2"/>
    <w:rsid w:val="5F3C2ED6"/>
    <w:rsid w:val="60EE0200"/>
    <w:rsid w:val="61E910CE"/>
    <w:rsid w:val="6E7F4B8D"/>
    <w:rsid w:val="70E97FC0"/>
    <w:rsid w:val="74A0760B"/>
    <w:rsid w:val="779524D0"/>
    <w:rsid w:val="77B50A1E"/>
    <w:rsid w:val="AF9D29DE"/>
    <w:rsid w:val="BBCE5126"/>
    <w:rsid w:val="F5C9C777"/>
    <w:rsid w:val="FFFF2EA1"/>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qFormat/>
    <w:uiPriority w:val="0"/>
    <w:pPr>
      <w:jc w:val="left"/>
    </w:pPr>
    <w:rPr>
      <w:rFonts w:eastAsia="黑体"/>
    </w:rPr>
  </w:style>
  <w:style w:type="paragraph" w:styleId="3">
    <w:name w:val="Body Text Indent"/>
    <w:basedOn w:val="1"/>
    <w:qFormat/>
    <w:uiPriority w:val="0"/>
    <w:pPr>
      <w:ind w:firstLine="560" w:firstLineChars="200"/>
    </w:pPr>
    <w:rPr>
      <w:kern w:val="10"/>
      <w:sz w:val="28"/>
    </w:rPr>
  </w:style>
  <w:style w:type="paragraph" w:styleId="4">
    <w:name w:val="Balloon Text"/>
    <w:basedOn w:val="1"/>
    <w:link w:val="17"/>
    <w:qFormat/>
    <w:uiPriority w:val="0"/>
    <w:rPr>
      <w:rFonts w:eastAsia="黑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rFonts w:eastAsia="黑体"/>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19"/>
    <w:qFormat/>
    <w:uiPriority w:val="0"/>
    <w:rPr>
      <w:b/>
      <w:bCs/>
    </w:rPr>
  </w:style>
  <w:style w:type="table" w:styleId="10">
    <w:name w:val="Table Grid"/>
    <w:basedOn w:val="9"/>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qFormat/>
    <w:uiPriority w:val="0"/>
    <w:rPr>
      <w:rFonts w:eastAsia="黑体"/>
      <w:b/>
      <w:bCs/>
      <w:kern w:val="2"/>
      <w:sz w:val="32"/>
      <w:szCs w:val="32"/>
      <w:lang w:val="en-US" w:eastAsia="zh-CN" w:bidi="ar-SA"/>
    </w:rPr>
  </w:style>
  <w:style w:type="character" w:styleId="13">
    <w:name w:val="page number"/>
    <w:qFormat/>
    <w:uiPriority w:val="0"/>
    <w:rPr>
      <w:lang w:val="en-US" w:eastAsia="zh-CN" w:bidi="ar-SA"/>
    </w:rPr>
  </w:style>
  <w:style w:type="character" w:styleId="14">
    <w:name w:val="Hyperlink"/>
    <w:qFormat/>
    <w:uiPriority w:val="0"/>
    <w:rPr>
      <w:rFonts w:eastAsia="黑体"/>
      <w:color w:val="0563C1"/>
      <w:kern w:val="2"/>
      <w:sz w:val="32"/>
      <w:szCs w:val="32"/>
      <w:u w:val="single"/>
      <w:lang w:val="en-US" w:eastAsia="zh-CN" w:bidi="ar-SA"/>
    </w:rPr>
  </w:style>
  <w:style w:type="character" w:styleId="15">
    <w:name w:val="annotation reference"/>
    <w:qFormat/>
    <w:uiPriority w:val="0"/>
    <w:rPr>
      <w:rFonts w:eastAsia="黑体"/>
      <w:kern w:val="2"/>
      <w:sz w:val="21"/>
      <w:szCs w:val="21"/>
      <w:lang w:val="en-US" w:eastAsia="zh-CN" w:bidi="ar-SA"/>
    </w:rPr>
  </w:style>
  <w:style w:type="character" w:customStyle="1" w:styleId="16">
    <w:name w:val="批注文字 字符"/>
    <w:link w:val="2"/>
    <w:qFormat/>
    <w:uiPriority w:val="0"/>
    <w:rPr>
      <w:rFonts w:eastAsia="黑体"/>
      <w:kern w:val="2"/>
      <w:sz w:val="21"/>
      <w:szCs w:val="24"/>
      <w:lang w:val="en-US" w:eastAsia="zh-CN" w:bidi="ar-SA"/>
    </w:rPr>
  </w:style>
  <w:style w:type="character" w:customStyle="1" w:styleId="17">
    <w:name w:val="批注框文本 字符"/>
    <w:link w:val="4"/>
    <w:qFormat/>
    <w:uiPriority w:val="0"/>
    <w:rPr>
      <w:rFonts w:eastAsia="黑体"/>
      <w:kern w:val="2"/>
      <w:sz w:val="18"/>
      <w:szCs w:val="18"/>
      <w:lang w:val="en-US" w:eastAsia="zh-CN" w:bidi="ar-SA"/>
    </w:rPr>
  </w:style>
  <w:style w:type="character" w:customStyle="1" w:styleId="18">
    <w:name w:val="页眉 字符"/>
    <w:link w:val="6"/>
    <w:qFormat/>
    <w:uiPriority w:val="0"/>
    <w:rPr>
      <w:rFonts w:eastAsia="黑体"/>
      <w:kern w:val="2"/>
      <w:sz w:val="18"/>
      <w:szCs w:val="18"/>
      <w:lang w:val="en-US" w:eastAsia="zh-CN" w:bidi="ar-SA"/>
    </w:rPr>
  </w:style>
  <w:style w:type="character" w:customStyle="1" w:styleId="19">
    <w:name w:val="批注主题 字符"/>
    <w:link w:val="8"/>
    <w:qFormat/>
    <w:uiPriority w:val="0"/>
    <w:rPr>
      <w:rFonts w:eastAsia="黑体"/>
      <w:b/>
      <w:bCs/>
      <w:kern w:val="2"/>
      <w:sz w:val="21"/>
      <w:szCs w:val="24"/>
      <w:lang w:val="en-US" w:eastAsia="zh-CN" w:bidi="ar-SA"/>
    </w:rPr>
  </w:style>
  <w:style w:type="character" w:customStyle="1" w:styleId="20">
    <w:name w:val="hps"/>
    <w:qFormat/>
    <w:uiPriority w:val="0"/>
    <w:rPr>
      <w:lang w:val="en-US" w:eastAsia="zh-CN" w:bidi="ar-SA"/>
    </w:rPr>
  </w:style>
  <w:style w:type="character" w:customStyle="1" w:styleId="21">
    <w:name w:val="high-light high-light-bg"/>
    <w:qFormat/>
    <w:uiPriority w:val="0"/>
    <w:rPr>
      <w:lang w:val="en-US" w:eastAsia="zh-CN" w:bidi="ar-SA"/>
    </w:rPr>
  </w:style>
  <w:style w:type="character" w:customStyle="1" w:styleId="22">
    <w:name w:val="high-light"/>
    <w:qFormat/>
    <w:uiPriority w:val="0"/>
    <w:rPr>
      <w:lang w:val="en-US" w:eastAsia="zh-CN" w:bidi="ar-SA"/>
    </w:rPr>
  </w:style>
  <w:style w:type="character" w:customStyle="1" w:styleId="23">
    <w:name w:val="short_text"/>
    <w:qFormat/>
    <w:uiPriority w:val="0"/>
    <w:rPr>
      <w:lang w:val="en-US" w:eastAsia="zh-CN" w:bidi="ar-SA"/>
    </w:rPr>
  </w:style>
  <w:style w:type="character" w:customStyle="1" w:styleId="24">
    <w:name w:val="apple-converted-space"/>
    <w:qFormat/>
    <w:uiPriority w:val="0"/>
    <w:rPr>
      <w:lang w:val="en-US" w:eastAsia="zh-CN" w:bidi="ar-SA"/>
    </w:rPr>
  </w:style>
  <w:style w:type="paragraph" w:customStyle="1" w:styleId="25">
    <w:name w:val="Char"/>
    <w:basedOn w:val="1"/>
    <w:next w:val="1"/>
    <w:qFormat/>
    <w:uiPriority w:val="0"/>
    <w:pPr>
      <w:pageBreakBefore/>
      <w:tabs>
        <w:tab w:val="left" w:pos="425"/>
      </w:tabs>
      <w:spacing w:line="400" w:lineRule="exact"/>
      <w:ind w:left="425" w:hanging="425"/>
    </w:pPr>
    <w:rPr>
      <w:rFonts w:eastAsia="黑体"/>
      <w:sz w:val="32"/>
      <w:szCs w:val="32"/>
    </w:rPr>
  </w:style>
  <w:style w:type="paragraph" w:customStyle="1" w:styleId="26">
    <w:name w:val="tgt2"/>
    <w:basedOn w:val="1"/>
    <w:qFormat/>
    <w:uiPriority w:val="0"/>
    <w:pPr>
      <w:widowControl/>
      <w:spacing w:after="150" w:line="360" w:lineRule="auto"/>
      <w:jc w:val="left"/>
    </w:pPr>
    <w:rPr>
      <w:rFonts w:ascii="宋体" w:hAnsi="宋体" w:cs="宋体"/>
      <w:b/>
      <w:bCs/>
      <w:kern w:val="0"/>
      <w:sz w:val="36"/>
      <w:szCs w:val="36"/>
    </w:rPr>
  </w:style>
  <w:style w:type="paragraph" w:customStyle="1" w:styleId="27">
    <w:name w:val="Char Char1"/>
    <w:basedOn w:val="1"/>
    <w:next w:val="1"/>
    <w:qFormat/>
    <w:uiPriority w:val="0"/>
    <w:pPr>
      <w:pageBreakBefore/>
      <w:tabs>
        <w:tab w:val="left" w:pos="425"/>
      </w:tabs>
      <w:spacing w:line="400" w:lineRule="exact"/>
      <w:ind w:left="425" w:hanging="425"/>
    </w:pPr>
    <w:rPr>
      <w:rFonts w:eastAsia="黑体"/>
      <w:sz w:val="32"/>
      <w:szCs w:val="32"/>
    </w:rPr>
  </w:style>
  <w:style w:type="paragraph" w:styleId="2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footer" Target="footer1.xml"/><Relationship Id="rId7" Type="http://schemas.openxmlformats.org/officeDocument/2006/relationships/numbering" Target="numbering.xml"/><Relationship Id="rId2" Type="http://schemas.openxmlformats.org/officeDocument/2006/relationships/settings" Target="settings.xml"/><Relationship Id="rId6" Type="http://schemas.openxmlformats.org/officeDocument/2006/relationships/customXml" Target="../customXml/item1.xml"/><Relationship Id="rId1" Type="http://schemas.openxmlformats.org/officeDocument/2006/relationships/styles" Target="styles.xml"/><Relationship Id="rId11" Type="http://schemas.openxmlformats.org/officeDocument/2006/relationships/customXml" Target="../customXml/item4.xml"/><Relationship Id="rId5" Type="http://schemas.openxmlformats.org/officeDocument/2006/relationships/theme" Target="theme/theme1.xml"/><Relationship Id="rId10" Type="http://schemas.openxmlformats.org/officeDocument/2006/relationships/customXml" Target="../customXml/item3.xml"/><Relationship Id="rId4" Type="http://schemas.openxmlformats.org/officeDocument/2006/relationships/footer" Target="footer2.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40C0B6-96E4-4AF9-9520-3B942D1D0614}"/>
</file>

<file path=customXml/itemProps3.xml><?xml version="1.0" encoding="utf-8"?>
<ds:datastoreItem xmlns:ds="http://schemas.openxmlformats.org/officeDocument/2006/customXml" ds:itemID="{56403479-53D7-446A-9107-78C6A608904C}"/>
</file>

<file path=customXml/itemProps4.xml><?xml version="1.0" encoding="utf-8"?>
<ds:datastoreItem xmlns:ds="http://schemas.openxmlformats.org/officeDocument/2006/customXml" ds:itemID="{33B4AA18-76B6-457F-9810-20C4273783E3}"/>
</file>

<file path=docProps/app.xml><?xml version="1.0" encoding="utf-8"?>
<Properties xmlns="http://schemas.openxmlformats.org/officeDocument/2006/extended-properties" xmlns:vt="http://schemas.openxmlformats.org/officeDocument/2006/docPropsVTypes">
  <Template>Normal</Template>
  <Company>TC-MOFCOM</Company>
  <Pages>8</Pages>
  <Words>4505</Words>
  <Characters>13153</Characters>
  <Lines>107</Lines>
  <Paragraphs>30</Paragraphs>
  <TotalTime>90</TotalTime>
  <ScaleCrop>false</ScaleCrop>
  <LinksUpToDate>false</LinksUpToDate>
  <CharactersWithSpaces>14788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关于塞尔维亚地方官员研修班</dc:title>
  <dc:creator>ZHENG Fang</dc:creator>
  <cp:lastModifiedBy>User</cp:lastModifiedBy>
  <cp:revision>35</cp:revision>
  <cp:lastPrinted>2024-03-06T04:02:00Z</cp:lastPrinted>
  <dcterms:created xsi:type="dcterms:W3CDTF">2025-03-18T07:47:00Z</dcterms:created>
  <dcterms:modified xsi:type="dcterms:W3CDTF">2025-04-24T16:52:32Z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8B28D4D71FAB4E498EEBBB22FC71ED69_13</vt:lpwstr>
  </property>
  <property fmtid="{D5CDD505-2E9C-101B-9397-08002B2CF9AE}" pid="3" name="KSOProductBuildVer">
    <vt:lpwstr>2052-11.8.2.8696</vt:lpwstr>
  </property>
  <property fmtid="{D5CDD505-2E9C-101B-9397-08002B2CF9AE}" pid="4" name="ContentTypeId">
    <vt:lpwstr>0x0101007FDEA2B2EAF98D4F95EDAE77163DC355</vt:lpwstr>
  </property>
</Properties>
</file>