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b/>
        </w:rPr>
      </w:pPr>
      <w:bookmarkStart w:id="53" w:name="_GoBack"/>
      <w:r>
        <w:rPr>
          <w:rFonts w:ascii="宋体" w:hAnsi="宋体" w:eastAsia="宋体" w:cs="宋体"/>
          <w:b/>
          <w:sz w:val="30"/>
        </w:rPr>
        <w:t>Seminar on Climate Change Addressing and Marine Sustainable Development for Developing Countries</w:t>
      </w:r>
      <w:bookmarkStart w:id="0" w:name="projectPnameEnTitle"/>
    </w:p>
    <w:bookmarkEnd w:id="53"/>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r>
              <w:rPr>
                <w:rFonts w:ascii="Times New Roman" w:hAnsi="Times New Roman" w:eastAsia="Times New Roman" w:cs="Times New Roman"/>
                <w:sz w:val="22"/>
              </w:rPr>
              <w:t>Seminar on Climate Change Addressing and Marine Sustainable Development for Developing Countries</w:t>
            </w:r>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Fujian Institute of Oceanography</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2025-07-23</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2025-08-05</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Developing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ojectPersonNumMinEn"/>
            <w:bookmarkStart w:id="14" w:name="prcEstimateNumEn"/>
            <w:bookmarkStart w:id="15" w:name="projectPersonNumMaxEn"/>
            <w:r>
              <w:rPr>
                <w:rFonts w:ascii="Times New Roman" w:hAnsi="Times New Roman" w:eastAsia="Times New Roman" w:cs="Times New Roman"/>
                <w:sz w:val="22"/>
              </w:rPr>
              <w:t>30</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Under 45 for officials at or under director’s level; 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local public hospitals; without diseases with which the entry to China is disallowed under China’s laws and regulations; without severe chronic diseases such as serious high blood pressure, cardiovascular/cerebrovascular diseases and diabetes; without mental diseases or infectious diseases that may cause serious threat to public health; not in recovery after a major operation or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Fluency in listening, speaking, reading and writing in English</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Xiamen City, Fujian Province</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25℃~35℃</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right"/>
              <w:rPr>
                <w:color w:val="000000"/>
              </w:rPr>
            </w:pPr>
            <w:bookmarkStart w:id="30" w:name="investigationCitysEn"/>
            <w:r>
              <w:rPr>
                <w:rFonts w:ascii="Times New Roman" w:hAnsi="Times New Roman" w:eastAsia="Times New Roman" w:cs="Times New Roman"/>
                <w:sz w:val="22"/>
              </w:rPr>
              <w:t>Shanghai City</w:t>
            </w:r>
            <w:bookmarkEnd w:id="30"/>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ascii="Times New Roman" w:hAnsi="Times New Roman" w:eastAsia="Times New Roman" w:cs="Times New Roman"/>
                <w:sz w:val="22"/>
              </w:rPr>
              <w:t>Shanghai City:26℃~34℃</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IniComEn"/>
            <w:bookmarkStart w:id="35" w:name="projectAgCommentsEn"/>
            <w:r>
              <w:rPr>
                <w:rFonts w:ascii="Times New Roman" w:hAnsi="Times New Roman" w:eastAsia="Times New Roman" w:cs="Times New Roman"/>
                <w:sz w:val="22"/>
              </w:rPr>
              <w:t>1. Please prepare the materials for discussion and exchange during the Seminar.</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Please bring formal attire, traditional clothing or work uniforms for formal events.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Please bring a small amount of commonly used medications.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Please bring a laptop, if necessary, as it will not be provided by the Chinese side.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You are not allowed to change the flights to/from China, but if necessary, please contact the Economic and Commercial Office of the Chinese Embassy for relevant procedures.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Please contact the Economic and Commercial Office of the Chinese Embassy or the organizer immediately if you cannot depart or transfer on time and update your flight details for airport pick-up.</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Please confirm whether the luggage needs to be rechecked when transferring.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Please wait at the International/Domestic Arrivals area after claiming your luggage. Chinese staff will hold a pick-up sign with “Welcome” and “Fujian Institute of Oceanography” on it. Please contact the organizer if you’ve waited more than 15 minutes.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You are advised to sign up for a WeChat account.</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Mr.Chen Jian, Ms.Wang Yuting</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0086-592-6032030(Mr.Chen), 0086-592-6032030(Ms.Wang)</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0086-13306039440(Mr.Chen), 0086-18020766198(Ms.Wang)</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0086-592-6032030(Mr.Chen), 0086-592-6032030(Ms.Wang)</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throughvc@gmail.com(Mr.Chen), 602589905@qq.com(Ms.Wang)</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ascii="Times New Roman" w:hAnsi="Times New Roman" w:eastAsia="Times New Roman" w:cs="Times New Roman"/>
                <w:sz w:val="22"/>
              </w:rPr>
              <w:t>No.30, Haishan Rd, Dongdu, Huli District, Xiamen City, Fujian Province, China</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ascii="Times New Roman" w:hAnsi="Times New Roman" w:eastAsia="Times New Roman" w:cs="Times New Roman"/>
                <w:sz w:val="22"/>
              </w:rPr>
              <w:t>Located in Xiamen, Fujian Province of China, Fujian Institute of Oceanography (FJIO) was founded in 1979 and is a scientific research public institution under Fujian Provincial Department of Science and Technology. Now, it is composed of three centres, Coast and Island Research Centre, Oceanographic Survey and Data Centre of the Taiwan Strait and Its Adjacent Waters, and International Communication and Training Centre (ICTC), and two research departments that focus on marine chemistry and marine biology. It boasts the research building (also the administration building) of 3,671 square metres, fine-equipped laboratories and facilities and “Yanping No. 2”, a research vessel with the displacement of 800 tons. FJIO has been serving in governmental marine management and entrepreneurial marine economic development and acquired abundant expertise and experience in fields of mariculture, marine environmental monitoring, and integrated coastal management (ICM), etc.</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Since 2005, FJIO has been organizing China-aid training programs sponsored by the Ministry of Commerce, PRC, completed 157 multilateral/bilateral training courses/seminars/workshops themed on Practical Aquaculture Technology for Marine Organisms, ICM, Marine Fisheries Management, Marine Management and Blue Economic Development, Marine Industrial Economy, New Marine Technology, MSP, and others, of which 22 were conducted online, and gained rich experience. Working languages span English, Portuguese, French, Spanish, Arabic, Thai, and so on. 4678 admissions from 111 developing countries of 5 continents, Portugal, and 2 reginal international organizations (League of Arab States, ASEAN) have been made, including 39 senior officials at ministerial level and 158 at director-general level. These programs have won great acclaim from participants across the world.</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ascii="Times New Roman" w:hAnsi="Times New Roman" w:eastAsia="Times New Roman" w:cs="Times New Roman"/>
                <w:sz w:val="22"/>
              </w:rPr>
              <w:t>Seminar Content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Introduction to the main courses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w:t>
            </w:r>
            <w:r>
              <w:rPr>
                <w:rFonts w:ascii="Times New Roman" w:hAnsi="Times New Roman" w:eastAsia="Times New Roman" w:cs="Times New Roman"/>
                <w:sz w:val="22"/>
              </w:rPr>
              <w:tab/>
            </w:r>
            <w:r>
              <w:rPr>
                <w:rFonts w:ascii="Times New Roman" w:hAnsi="Times New Roman" w:eastAsia="Times New Roman" w:cs="Times New Roman"/>
                <w:sz w:val="22"/>
              </w:rPr>
              <w:t>An Introduction to China’s National Conditions: the course introduces China’s geography, history, humanity and culture and the great achievements in economy, science, culture, education and exchanges with foreign countries by Chinese people under the leadership of the Communist Party of China since the founding of the People’s Republic of China (especially after the Reform and Opening Up), as well as the progress of targeted poverty alleviation and building a moderately prosperous society.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w:t>
            </w:r>
            <w:r>
              <w:rPr>
                <w:rFonts w:ascii="Times New Roman" w:hAnsi="Times New Roman" w:eastAsia="Times New Roman" w:cs="Times New Roman"/>
                <w:sz w:val="22"/>
              </w:rPr>
              <w:tab/>
            </w:r>
            <w:r>
              <w:rPr>
                <w:rFonts w:ascii="Times New Roman" w:hAnsi="Times New Roman" w:eastAsia="Times New Roman" w:cs="Times New Roman"/>
                <w:sz w:val="22"/>
              </w:rPr>
              <w:t>Xi Jinping Thought on Eco-civilization – Guide and Practice of Mangrove Ecological Restoration: taking the mangrove ecological restoration project in Xiamen as a case study, the course presents the implementation and outcomes of China’s policies for mangrove ecological conservation and restoration, showcasing China’s green development path that prioritizes the ecology, highlighting China’s leadership in global climate change solutions and environmental governance, and demonstrating to the world the Chinese formula.</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w:t>
            </w:r>
            <w:r>
              <w:rPr>
                <w:rFonts w:ascii="Times New Roman" w:hAnsi="Times New Roman" w:eastAsia="Times New Roman" w:cs="Times New Roman"/>
                <w:sz w:val="22"/>
              </w:rPr>
              <w:tab/>
            </w:r>
            <w:r>
              <w:rPr>
                <w:rFonts w:ascii="Times New Roman" w:hAnsi="Times New Roman" w:eastAsia="Times New Roman" w:cs="Times New Roman"/>
                <w:sz w:val="22"/>
              </w:rPr>
              <w:t>Marine Resource Management Policies and Marine Economic Sustainable Development: based on the strategy of building China into a powerful maritime state, the course systematically interprets the coordinated path of marine resource exploitation, ecological conservation and economic development. The contents focus on China’s management policies for its sea areas, islands, shorelines and other marine resources, and around the cutting-edge projects such as marine economic development and blue carbon sink and through case studies, presents the practices of marine resource exploitation and protection in China as well as its path and capabilities achieving high-quality marine economic development.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w:t>
            </w:r>
            <w:r>
              <w:rPr>
                <w:rFonts w:ascii="Times New Roman" w:hAnsi="Times New Roman" w:eastAsia="Times New Roman" w:cs="Times New Roman"/>
                <w:sz w:val="22"/>
              </w:rPr>
              <w:tab/>
            </w:r>
            <w:r>
              <w:rPr>
                <w:rFonts w:ascii="Times New Roman" w:hAnsi="Times New Roman" w:eastAsia="Times New Roman" w:cs="Times New Roman"/>
                <w:sz w:val="22"/>
              </w:rPr>
              <w:t>Climate Change and Marine Sustainable Development: Impacts, Risks and Adaptations: based on the Sixth Assessment Report by UN Intergovernmental Panel on Climate Change (IPCC AR6), the course introduces the physical, chemical, biological and ecological impacts that the global climate changes have had on the oceans since the industrial revolution, caused by the increasing greenhouse gas emission from human activities, such as rising sea temperatures, sea level rise, ocean acidification and oxygen depletion, harmful agal blooms, decline in biodiversity, degradation of fishery resources and habitat retraction, predicts critical climate risks in future marine fields, and advises on the measures urgently needed now and in the future.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w:t>
            </w:r>
            <w:r>
              <w:rPr>
                <w:rFonts w:ascii="Times New Roman" w:hAnsi="Times New Roman" w:eastAsia="Times New Roman" w:cs="Times New Roman"/>
                <w:sz w:val="22"/>
              </w:rPr>
              <w:tab/>
            </w:r>
            <w:r>
              <w:rPr>
                <w:rFonts w:ascii="Times New Roman" w:hAnsi="Times New Roman" w:eastAsia="Times New Roman" w:cs="Times New Roman"/>
                <w:sz w:val="22"/>
              </w:rPr>
              <w:t>Marine Carbon Sink Augmentation and Climate Warming Mitigation by Novel Fishery Models – Sea Ranch Planning and Construction: the course introduces the significance of sea ranches in mitigating global warming as well as their important roles in promoting ecological restoration and conservation, providing quality aqua products for food demands and facilitating the development of fisheries and other relevant industries, and taking the modernized sea ranch construction in Guangdong Province as a case study, introduces China’s sea ranch green sustainable development approach featuring the land and sea coordination, complete industry chain planning, safe production, creative services and intelligence empowerment.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w:t>
            </w:r>
            <w:r>
              <w:rPr>
                <w:rFonts w:ascii="Times New Roman" w:hAnsi="Times New Roman" w:eastAsia="Times New Roman" w:cs="Times New Roman"/>
                <w:sz w:val="22"/>
              </w:rPr>
              <w:tab/>
            </w:r>
            <w:r>
              <w:rPr>
                <w:rFonts w:ascii="Times New Roman" w:hAnsi="Times New Roman" w:eastAsia="Times New Roman" w:cs="Times New Roman"/>
                <w:sz w:val="22"/>
              </w:rPr>
              <w:t>Mariculture Industry and Climate Change: Challenges and Solutions: based on the multiple challenges in terms of ecosystem stability and industrial sustainability faced by traditional mariculture models due to intensifying global climate changes, this course intends to explore the composite development strategy of “technology driven + ecological synergy”, such as cultivating new varieties resistant to high temperature and low oxygen, developing intelligent monitoring and early warning systems, constructing an ecological cycle system based on Integrated Multi-trophic Aquaculture (IMTA), and achieving dual improvement of environmental adaptability and marine resource utilization efficiency. These strategies and solutions aim to create a new paradigm for marine aquaculture resilient to climate changes, providing a practical path for ensuring global food security and sustainable development of the oceans.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Visits (Cities to visit may be changed basing on the practical situation.)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Participants will visit Xiamen Marine Economy Public Service Center (Shapowei), the State Key Laboratory of Marine Environmental Science of Xiamen University, Xiamen Marine Forecasts and Aotou Village (a demonstration area for rural revitalization) in Xiamen City and relevant scientific research institutions and colleges in Shanghai City.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Lecturers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w:t>
            </w:r>
            <w:r>
              <w:rPr>
                <w:rFonts w:ascii="Times New Roman" w:hAnsi="Times New Roman" w:eastAsia="Times New Roman" w:cs="Times New Roman"/>
                <w:sz w:val="22"/>
              </w:rPr>
              <w:tab/>
            </w:r>
            <w:r>
              <w:rPr>
                <w:rFonts w:ascii="Times New Roman" w:hAnsi="Times New Roman" w:eastAsia="Times New Roman" w:cs="Times New Roman"/>
                <w:sz w:val="22"/>
              </w:rPr>
              <w:t>Mr. Ji Yuhua, Professor of College of Foreign Languages and Cultures, Xiamen University.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w:t>
            </w:r>
            <w:r>
              <w:rPr>
                <w:rFonts w:ascii="Times New Roman" w:hAnsi="Times New Roman" w:eastAsia="Times New Roman" w:cs="Times New Roman"/>
                <w:sz w:val="22"/>
              </w:rPr>
              <w:tab/>
            </w:r>
            <w:r>
              <w:rPr>
                <w:rFonts w:ascii="Times New Roman" w:hAnsi="Times New Roman" w:eastAsia="Times New Roman" w:cs="Times New Roman"/>
                <w:sz w:val="22"/>
              </w:rPr>
              <w:t>Mr. Chen Guangcheng, Research Fellow of the Third Institute of Oceanography, Ministry of Natural Resources.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w:t>
            </w:r>
            <w:r>
              <w:rPr>
                <w:rFonts w:ascii="Times New Roman" w:hAnsi="Times New Roman" w:eastAsia="Times New Roman" w:cs="Times New Roman"/>
                <w:sz w:val="22"/>
              </w:rPr>
              <w:tab/>
            </w:r>
            <w:r>
              <w:rPr>
                <w:rFonts w:ascii="Times New Roman" w:hAnsi="Times New Roman" w:eastAsia="Times New Roman" w:cs="Times New Roman"/>
                <w:sz w:val="22"/>
              </w:rPr>
              <w:t>Mr. Tang Fei, Associate Research Fellow and Deputy Director of the Island Research Center, Ministry of Natural Resources.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w:t>
            </w:r>
            <w:r>
              <w:rPr>
                <w:rFonts w:ascii="Times New Roman" w:hAnsi="Times New Roman" w:eastAsia="Times New Roman" w:cs="Times New Roman"/>
                <w:sz w:val="22"/>
              </w:rPr>
              <w:tab/>
            </w:r>
            <w:r>
              <w:rPr>
                <w:rFonts w:ascii="Times New Roman" w:hAnsi="Times New Roman" w:eastAsia="Times New Roman" w:cs="Times New Roman"/>
                <w:sz w:val="22"/>
              </w:rPr>
              <w:t>Mr. Tan Hongjian, Research Fellow of the Third Institute of Oceanography, Ministry of Natural Resources.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w:t>
            </w:r>
            <w:r>
              <w:rPr>
                <w:rFonts w:ascii="Times New Roman" w:hAnsi="Times New Roman" w:eastAsia="Times New Roman" w:cs="Times New Roman"/>
                <w:sz w:val="22"/>
              </w:rPr>
              <w:tab/>
            </w:r>
            <w:r>
              <w:rPr>
                <w:rFonts w:ascii="Times New Roman" w:hAnsi="Times New Roman" w:eastAsia="Times New Roman" w:cs="Times New Roman"/>
                <w:sz w:val="22"/>
              </w:rPr>
              <w:t>Mr. Wang Lei, Professorate Senior Engineer and Deputy Director General of No.3 Planning Institute, Guangdong Urban-rural Planning and Design Research Institute Technology Group, Co., Ltd.</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w:t>
            </w:r>
            <w:r>
              <w:rPr>
                <w:rFonts w:ascii="Times New Roman" w:hAnsi="Times New Roman" w:eastAsia="Times New Roman" w:cs="Times New Roman"/>
                <w:sz w:val="22"/>
              </w:rPr>
              <w:tab/>
            </w:r>
            <w:r>
              <w:rPr>
                <w:rFonts w:ascii="Times New Roman" w:hAnsi="Times New Roman" w:eastAsia="Times New Roman" w:cs="Times New Roman"/>
                <w:sz w:val="22"/>
              </w:rPr>
              <w:t>Mr. You Weiwei, Professor and Deputy Director of Xiamen University.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Others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To facilitate the exchange with Chinese experts, please prepare relevant materials before your trip to China, such as: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w:t>
            </w:r>
            <w:r>
              <w:rPr>
                <w:rFonts w:ascii="Times New Roman" w:hAnsi="Times New Roman" w:eastAsia="Times New Roman" w:cs="Times New Roman"/>
                <w:sz w:val="22"/>
              </w:rPr>
              <w:tab/>
            </w:r>
            <w:r>
              <w:rPr>
                <w:rFonts w:ascii="Times New Roman" w:hAnsi="Times New Roman" w:eastAsia="Times New Roman" w:cs="Times New Roman"/>
                <w:sz w:val="22"/>
              </w:rPr>
              <w:t>Introduction of your profession and organization.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w:t>
            </w:r>
            <w:r>
              <w:rPr>
                <w:rFonts w:ascii="Times New Roman" w:hAnsi="Times New Roman" w:eastAsia="Times New Roman" w:cs="Times New Roman"/>
                <w:sz w:val="22"/>
              </w:rPr>
              <w:tab/>
            </w:r>
            <w:r>
              <w:rPr>
                <w:rFonts w:ascii="Times New Roman" w:hAnsi="Times New Roman" w:eastAsia="Times New Roman" w:cs="Times New Roman"/>
                <w:sz w:val="22"/>
              </w:rPr>
              <w:t>Institutional establishment and management mode of the governmental sea-related departments, overview of the sea area, and the status of marine resources.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w:t>
            </w:r>
            <w:r>
              <w:rPr>
                <w:rFonts w:ascii="Times New Roman" w:hAnsi="Times New Roman" w:eastAsia="Times New Roman" w:cs="Times New Roman"/>
                <w:sz w:val="22"/>
              </w:rPr>
              <w:tab/>
            </w:r>
            <w:r>
              <w:rPr>
                <w:rFonts w:ascii="Times New Roman" w:hAnsi="Times New Roman" w:eastAsia="Times New Roman" w:cs="Times New Roman"/>
                <w:sz w:val="22"/>
              </w:rPr>
              <w:t>Blue economy planning strategy, development status and challenges in your country.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w:t>
            </w:r>
            <w:r>
              <w:rPr>
                <w:rFonts w:ascii="Times New Roman" w:hAnsi="Times New Roman" w:eastAsia="Times New Roman" w:cs="Times New Roman"/>
                <w:sz w:val="22"/>
              </w:rPr>
              <w:tab/>
            </w:r>
            <w:r>
              <w:rPr>
                <w:rFonts w:ascii="Times New Roman" w:hAnsi="Times New Roman" w:eastAsia="Times New Roman" w:cs="Times New Roman"/>
                <w:sz w:val="22"/>
              </w:rPr>
              <w:t>National sea-related policies and laws and regulations.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w:t>
            </w:r>
            <w:r>
              <w:rPr>
                <w:rFonts w:ascii="Times New Roman" w:hAnsi="Times New Roman" w:eastAsia="Times New Roman" w:cs="Times New Roman"/>
                <w:sz w:val="22"/>
              </w:rPr>
              <w:tab/>
            </w:r>
            <w:r>
              <w:rPr>
                <w:rFonts w:ascii="Times New Roman" w:hAnsi="Times New Roman" w:eastAsia="Times New Roman" w:cs="Times New Roman"/>
                <w:sz w:val="22"/>
              </w:rPr>
              <w:t>Main cooperating countries, cooperation methods and management modes in marine industries.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w:t>
            </w:r>
            <w:r>
              <w:rPr>
                <w:rFonts w:ascii="Times New Roman" w:hAnsi="Times New Roman" w:eastAsia="Times New Roman" w:cs="Times New Roman"/>
                <w:sz w:val="22"/>
              </w:rPr>
              <w:tab/>
            </w:r>
            <w:r>
              <w:rPr>
                <w:rFonts w:ascii="Times New Roman" w:hAnsi="Times New Roman" w:eastAsia="Times New Roman" w:cs="Times New Roman"/>
                <w:sz w:val="22"/>
              </w:rPr>
              <w:t>The basis and prospects of cooperation with China.</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31020686"/>
    <w:rsid w:val="32174921"/>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441383F"/>
    <w:rsid w:val="55D25501"/>
    <w:rsid w:val="563362DD"/>
    <w:rsid w:val="5AD842DD"/>
    <w:rsid w:val="5C271A10"/>
    <w:rsid w:val="5D0A3A84"/>
    <w:rsid w:val="5E584CF6"/>
    <w:rsid w:val="5E9B1EFB"/>
    <w:rsid w:val="5F70542F"/>
    <w:rsid w:val="61B72E07"/>
    <w:rsid w:val="61DD0478"/>
    <w:rsid w:val="639E7749"/>
    <w:rsid w:val="63FF32B4"/>
    <w:rsid w:val="6B7147C6"/>
    <w:rsid w:val="6F735CBA"/>
    <w:rsid w:val="6F7A527F"/>
    <w:rsid w:val="716647E3"/>
    <w:rsid w:val="71CD548F"/>
    <w:rsid w:val="740D4290"/>
    <w:rsid w:val="75B33544"/>
    <w:rsid w:val="76D669B3"/>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DC9995-5822-447A-A0BC-7A1B5582E00F}"/>
</file>

<file path=customXml/itemProps3.xml><?xml version="1.0" encoding="utf-8"?>
<ds:datastoreItem xmlns:ds="http://schemas.openxmlformats.org/officeDocument/2006/customXml" ds:itemID="{90A3CA5C-AFCB-4518-AC8E-3F9C891F4326}"/>
</file>

<file path=customXml/itemProps4.xml><?xml version="1.0" encoding="utf-8"?>
<ds:datastoreItem xmlns:ds="http://schemas.openxmlformats.org/officeDocument/2006/customXml" ds:itemID="{4EED62E3-C6C4-44D5-9756-F1F87421E13C}"/>
</file>

<file path=docProps/app.xml><?xml version="1.0" encoding="utf-8"?>
<Properties xmlns="http://schemas.openxmlformats.org/officeDocument/2006/extended-properties" xmlns:vt="http://schemas.openxmlformats.org/officeDocument/2006/docPropsVTypes">
  <Template>Normal.dotm</Template>
  <Pages>8</Pages>
  <Words>4138</Words>
  <Characters>12047</Characters>
  <Lines>4</Lines>
  <Paragraphs>1</Paragraphs>
  <TotalTime>118</TotalTime>
  <ScaleCrop>false</ScaleCrop>
  <LinksUpToDate>false</LinksUpToDate>
  <CharactersWithSpaces>13487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2016-02-24T06:55:00Z</cp:lastPrinted>
  <dcterms:created xsi:type="dcterms:W3CDTF">2021-05-08T07:43:00Z</dcterms:created>
  <dcterms:modified xsi:type="dcterms:W3CDTF">2025-04-24T17:03:19Z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KSOTemplateDocerSaveRecord">
    <vt:lpwstr>eyJoZGlkIjoiYTVkMmI2ZmM0MTY3OTI2M2NmNmFhYTMyYTBlZWIxNWQiLCJ1c2VySWQiOiIyOTY4Njc2MDMifQ==</vt:lpwstr>
  </property>
  <property fmtid="{D5CDD505-2E9C-101B-9397-08002B2CF9AE}" pid="5" name="ContentTypeId">
    <vt:lpwstr>0x0101007FDEA2B2EAF98D4F95EDAE77163DC355</vt:lpwstr>
  </property>
</Properties>
</file>