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3" w:name="_GoBack"/>
      <w:r>
        <w:rPr>
          <w:rFonts w:ascii="宋体" w:hAnsi="宋体" w:eastAsia="宋体" w:cs="宋体"/>
          <w:b/>
          <w:sz w:val="30"/>
        </w:rPr>
        <w:t>Seminar on Cloud Data Center Planning and Construction</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716"/>
        <w:gridCol w:w="990"/>
        <w:gridCol w:w="820"/>
        <w:gridCol w:w="1470"/>
        <w:gridCol w:w="110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7"/>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auto"/>
              <w:jc w:val="center"/>
              <w:rPr>
                <w:color w:val="000000"/>
              </w:rPr>
            </w:pPr>
            <w:bookmarkStart w:id="2" w:name="projectPnameEn"/>
            <w:r>
              <w:rPr>
                <w:rFonts w:ascii="Times New Roman" w:hAnsi="Times New Roman" w:eastAsia="Times New Roman" w:cs="Times New Roman"/>
                <w:sz w:val="22"/>
              </w:rPr>
              <w:t>Seminar on Cloud Data Center Planning and Construction</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7"/>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auto"/>
              <w:jc w:val="center"/>
              <w:rPr>
                <w:color w:val="000000"/>
              </w:rPr>
            </w:pPr>
            <w:bookmarkStart w:id="4" w:name="undertakeNameEn"/>
            <w:r>
              <w:rPr>
                <w:rFonts w:ascii="Times New Roman" w:hAnsi="Times New Roman" w:eastAsia="Times New Roman" w:cs="Times New Roman"/>
                <w:sz w:val="22"/>
              </w:rPr>
              <w:t>Wuhan Research Institute of Posts and Telecommunications</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6" w:name="projectStartDateEn"/>
            <w:r>
              <w:rPr>
                <w:rFonts w:ascii="Times New Roman" w:hAnsi="Times New Roman" w:eastAsia="Times New Roman" w:cs="Times New Roman"/>
                <w:sz w:val="22"/>
              </w:rPr>
              <w:t>2025-07-17</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2025-08-06</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ind w:firstLine="440" w:firstLineChars="200"/>
              <w:rPr>
                <w:color w:val="000000"/>
              </w:rPr>
            </w:pPr>
            <w:bookmarkStart w:id="11" w:name="projectInvitedEn"/>
            <w:r>
              <w:rPr>
                <w:rFonts w:ascii="Times New Roman" w:hAnsi="Times New Roman" w:eastAsia="Times New Roman" w:cs="Times New Roman"/>
                <w:sz w:val="22"/>
              </w:rPr>
              <w:t>Officials from developing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ind w:firstLine="4180" w:firstLineChars="1900"/>
              <w:rPr>
                <w:color w:val="000000"/>
              </w:rPr>
            </w:pPr>
            <w:bookmarkStart w:id="13" w:name="projectPersonNumMinEn"/>
            <w:bookmarkStart w:id="14" w:name="projectPersonNumMaxEn"/>
            <w:bookmarkStart w:id="15" w:name="prcEstimateNum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auto"/>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auto"/>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auto"/>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auto"/>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25" w:name="projectHostPlaceEnTitle"/>
            <w:r>
              <w:rPr>
                <w:rFonts w:ascii="Times New Roman" w:hAnsi="Times New Roman" w:eastAsia="Times New Roman" w:cs="Times New Roman"/>
                <w:sz w:val="22"/>
              </w:rPr>
              <w:t>Venue</w:t>
            </w:r>
            <w:bookmarkEnd w:id="25"/>
          </w:p>
        </w:tc>
        <w:tc>
          <w:tcPr>
            <w:tcW w:w="298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26" w:name="projectHostPlaceEn"/>
            <w:r>
              <w:rPr>
                <w:rFonts w:ascii="Times New Roman" w:hAnsi="Times New Roman" w:eastAsia="Times New Roman" w:cs="Times New Roman"/>
                <w:sz w:val="22"/>
              </w:rPr>
              <w:t>Wuhan City,  Hubei Province</w:t>
            </w:r>
            <w:bookmarkEnd w:id="26"/>
          </w:p>
        </w:tc>
        <w:tc>
          <w:tcPr>
            <w:tcW w:w="229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18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pPr>
            <w:bookmarkStart w:id="28" w:name="projectHpairEn"/>
            <w:r>
              <w:rPr>
                <w:rFonts w:ascii="Times New Roman" w:hAnsi="Times New Roman" w:eastAsia="Times New Roman" w:cs="Times New Roman"/>
                <w:sz w:val="22"/>
              </w:rPr>
              <w:t>23℃~33℃</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98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right"/>
              <w:rPr>
                <w:color w:val="000000"/>
              </w:rPr>
            </w:pPr>
            <w:bookmarkStart w:id="30" w:name="investigationCitysEn"/>
            <w:r>
              <w:rPr>
                <w:rFonts w:ascii="Times New Roman" w:hAnsi="Times New Roman" w:eastAsia="Times New Roman" w:cs="Times New Roman"/>
                <w:sz w:val="22"/>
              </w:rPr>
              <w:t>Nanjing City, Jiangsu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Luoyang City, Henan Province</w:t>
            </w:r>
            <w:bookmarkEnd w:id="30"/>
          </w:p>
        </w:tc>
        <w:tc>
          <w:tcPr>
            <w:tcW w:w="229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18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pPr>
            <w:bookmarkStart w:id="32" w:name="investigationConditionsEn"/>
            <w:r>
              <w:rPr>
                <w:rFonts w:ascii="Times New Roman" w:hAnsi="Times New Roman" w:eastAsia="Times New Roman" w:cs="Times New Roman"/>
                <w:sz w:val="22"/>
              </w:rPr>
              <w:t>Nanjing:24℃~33℃</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Luoyang:22℃~32℃</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color w:val="000000"/>
              </w:rPr>
            </w:pPr>
            <w:bookmarkStart w:id="34" w:name="projectAgCommentsEn"/>
            <w:bookmarkStart w:id="35" w:name="projectIniComEn"/>
            <w:r>
              <w:rPr>
                <w:rFonts w:ascii="Times New Roman" w:hAnsi="Times New Roman" w:eastAsia="Times New Roman" w:cs="Times New Roman"/>
                <w:sz w:val="22"/>
              </w:rPr>
              <w:t>1.Please prepare discussion and exchange materials related to the seminar theme in advance;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attend formal events in formal wear, ethnic clothing, or work uniforms;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bring along a small amount of commonly used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The Chinese side will not provide computers; if needed, please bring your own;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In principle, individuals are not allowed to change their tickets for flights to or from China. If there is a genuine need, please contact the economic and commercial office of the embassy of China in your country to handle the ticket change according to the established procedures;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If you cannot depart on time due to special circumstances, or if there is a flight delay during the transfer, please promptly contact the economic and commercial office of the embassy of China in your country or the contact person of the organizer to inform the latest flight information, so that arrangements for airport pickup can be made;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Please confirm whether you need to re-check your baggage when transferring flights;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After your flight lands and you have collected your luggage, please proceed to the international or domestic arrival exit and wait patiently. Our staff will pick you up with a pick-up card bearing the name of the organizer and the participant. If you have been waiting for more than 15 minutes, please contact the contact person of the organizing unit.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It is recommended to download and register the WECHAT software in advance.</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auto"/>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466"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jc w:val="left"/>
              <w:rPr>
                <w:color w:val="000000"/>
                <w:lang w:val="de-DE"/>
              </w:rPr>
            </w:pPr>
            <w:bookmarkStart w:id="38" w:name="projectContactPersonsEn"/>
            <w:r>
              <w:rPr>
                <w:rFonts w:ascii="Times New Roman" w:hAnsi="Times New Roman" w:eastAsia="Times New Roman" w:cs="Times New Roman"/>
                <w:sz w:val="22"/>
              </w:rPr>
              <w:t>Ms.Tian Bingxiao, Ms.Zhou Jinfeng, Ms.Zhang  Huijuan, Mr.Quan Zhen</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auto"/>
              <w:jc w:val="center"/>
              <w:rPr>
                <w:color w:val="000000"/>
                <w:lang w:val="de-DE"/>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46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color w:val="000000"/>
                <w:szCs w:val="21"/>
              </w:rPr>
            </w:pPr>
            <w:bookmarkStart w:id="40" w:name="projectContactTelsEn"/>
            <w:r>
              <w:rPr>
                <w:rFonts w:ascii="Times New Roman" w:hAnsi="Times New Roman" w:eastAsia="Times New Roman" w:cs="Times New Roman"/>
                <w:sz w:val="22"/>
              </w:rPr>
              <w:t>0086-27-87691212</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auto"/>
              <w:jc w:val="center"/>
              <w:rPr>
                <w:color w:val="000000"/>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46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color w:val="000000"/>
                <w:szCs w:val="21"/>
              </w:rPr>
            </w:pPr>
            <w:bookmarkStart w:id="42" w:name="projectContactMobilesEn"/>
            <w:r>
              <w:rPr>
                <w:rFonts w:ascii="Times New Roman" w:hAnsi="Times New Roman" w:eastAsia="Times New Roman" w:cs="Times New Roman"/>
                <w:sz w:val="22"/>
              </w:rPr>
              <w:t>0086-13517102816(Ms.Tian), 0086-13545220168(Ms.Zhou), 0086-18672960858(Ms.Zhang), 0086-18963997510(Mr.Quan)</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auto"/>
              <w:jc w:val="center"/>
              <w:rPr>
                <w:color w:val="000000"/>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46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color w:val="000000"/>
                <w:szCs w:val="21"/>
              </w:rPr>
            </w:pPr>
            <w:bookmarkStart w:id="44" w:name="projectContactFaxsEn"/>
            <w:r>
              <w:rPr>
                <w:rFonts w:ascii="Times New Roman" w:hAnsi="Times New Roman" w:eastAsia="Times New Roman" w:cs="Times New Roman"/>
                <w:sz w:val="22"/>
              </w:rPr>
              <w:t>0086-27-87691212</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auto"/>
              <w:jc w:val="center"/>
              <w:rPr>
                <w:color w:val="000000"/>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466" w:type="dxa"/>
            <w:gridSpan w:val="5"/>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auto"/>
              <w:jc w:val="left"/>
              <w:rPr>
                <w:lang w:val="fr-FR"/>
              </w:rPr>
            </w:pPr>
            <w:bookmarkStart w:id="46" w:name="projectContactEmailsEn"/>
            <w:r>
              <w:rPr>
                <w:rFonts w:ascii="Times New Roman" w:hAnsi="Times New Roman" w:eastAsia="Times New Roman" w:cs="Times New Roman"/>
                <w:sz w:val="22"/>
              </w:rPr>
              <w:t>83226616@qq.com(Ms.Tian),zhoujinfeng8888@126.com(Ms.Zhou), 18672960858@126.com(Ms.Zhang), quanzhen@126.com(Mr.Quan)</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auto"/>
              <w:jc w:val="center"/>
              <w:rPr>
                <w:color w:val="000000"/>
              </w:rPr>
            </w:pPr>
          </w:p>
        </w:tc>
        <w:tc>
          <w:tcPr>
            <w:tcW w:w="199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466" w:type="dxa"/>
            <w:gridSpan w:val="5"/>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auto"/>
              <w:jc w:val="left"/>
              <w:rPr>
                <w:lang w:val="fr-FR"/>
              </w:rPr>
            </w:pPr>
            <w:bookmarkStart w:id="48" w:name="projectAgAddressEn"/>
            <w:r>
              <w:rPr>
                <w:rFonts w:ascii="Times New Roman" w:hAnsi="Times New Roman" w:eastAsia="Times New Roman" w:cs="Times New Roman"/>
                <w:sz w:val="22"/>
              </w:rPr>
              <w:t>88#,You Ke Yuan road, Hongshan District, Wuhan City, Hubei  Province</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ind w:firstLine="28" w:firstLineChars="13"/>
              <w:jc w:val="both"/>
              <w:rPr>
                <w:szCs w:val="21"/>
              </w:rPr>
            </w:pPr>
            <w:bookmarkStart w:id="50" w:name="projectAgDescriptionEn"/>
            <w:r>
              <w:rPr>
                <w:rFonts w:ascii="Times New Roman" w:hAnsi="Times New Roman" w:eastAsia="Times New Roman" w:cs="Times New Roman"/>
                <w:sz w:val="22"/>
              </w:rPr>
              <w:t xml:space="preserve">    Wuhan Institute of Posts and Telecommunications Co., LTD. (Fiberhome Technology Group) is one of the two research institutes directly under Ministry of Posts and Telecommunications (predecessor of Ministry of Information Industry) and one of the communication training bases of the Asia-Pacific Telecommunication Union (APT) of the Ministry of Industry and Information Technology. It is one of the first enrollment units authorized by the state to award master's degree in engineering, one of the first national Academy of Excellence Engineers, and a state-approved post-doctoral workstation. In 2018, Wuhan Research Institute of Posts and Telecommunications Co., LTD. (Fiberhome Technology Group) and Research Institute of Telecommunication Science and Technology Co., LTD. (Datang Telecom) were reorganized to form China Information and Communication Technologies Group, with its headquarters located in Wuhan. Our institute has received significant attention from national leaders. On April 26, 2018, President Xi Jinping once again visited our institute, encouraging our staff that core technologies, key technologies, and national heavy equipment must be based on our own.  Our institute is a national team for information communication products and comprehensive solutions, with business coverage in more than 100 countries and regions worldwide. We deeply implement the "Belt and Road" initiative, continuously strengthen in-depth cooperation with countries along the "Belt and Road" in the field of digital economy, vigorously develop digital infrastructure construction, jointly build the "Digital Silk Road", and strive to narrow the digital divide in relevant countries.  On September 14, 2020, Han Zheng, member of the Standing Committee of the Political Bureau of the CPC Central Committee and Vice Premier of the State Council, visited our institute and encouraged the enterprise to maintain focus, tap into its potential, continuously grow stronger, better, and larger, enhance international market competitiveness, and strengthen the strength of Chinese manufacturing. In 2024, the group's international market contract amounted to $1.65 billion, injecting more new momentum into the economic development of "Belt and Road" countries and better benefiting local society and people.  As a central enterprise and the core enterprise of "Wuhan • China Optical Valley", our industry focuses on six areas: optical communication, mobile communication, optoelectronics and large-scale integrated circuits, data communication, network information security, and intelligent applications.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Wuhan Research Institute of Posts and Telecommunications Co., Ltd. is located in Wuhan, Hubei Province, China. Wuhan is an extremely large city in central China, an important ICT、steel and automobile industry base, a science and education base and a comprehensive transportation hub in the country. The Yangtze River, the third longest river in the world, runs through the city and is the largest water, land and air transportation platform in inland China.  Its high-speed rail network covers most of China, and it is the only city in central China that can directly fly to the five continents of the world.  As the Optical Valley of China, Wuhan is a core city of the Yangtze River Economic Belt and is committed to building an innovation and entrepreneurship center with global influence. Wuhan has more than 80 colleges and universities, high-tech enterprises and talent concentration. Wuhan is speeding up its efforts to build itself into a national central city supported by four functions: national economic center, high-level scientific and technological innovation center, business logistics center and international exchange center.</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Since 1994, authorized respectively by Ministry of Commerce, Ministry of Information Industry, Ministry of Foreign Affairs and Ministry of Science and Technology, WRI has organized more than 300 foreign-aid training projects, with about 10000 participants from over 100 countries of 5 continents. For more than a decade, WRI has been actively exploring new ways and integrating research into practice. The number of foreign-aid training programs administered by WRI has increased from one to more than 50 per year. WRI has become capable of organizing seminars for officials at department/division level. The seminars last from 10 days, 20 days to 3 months, offered in either English, French, Russian, Arabic, Spanish or Portuguese.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    Nevertheless, we will continue to make efforts and fully exploit our strengths and experience in terms of communication technologies and foreign-aid training so as to conduct characteristic, high-level and influential training projects, and make greater contribution to the implementation of national economic trade strategies of all countries</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7"/>
            <w:tcBorders>
              <w:left w:val="single" w:color="auto" w:sz="4" w:space="0"/>
              <w:bottom w:val="single" w:color="auto" w:sz="4" w:space="0"/>
              <w:right w:val="single" w:color="auto" w:sz="4" w:space="0"/>
            </w:tcBorders>
            <w:vAlign w:val="center"/>
          </w:tcPr>
          <w:p>
            <w:pPr>
              <w:snapToGrid w:val="0"/>
              <w:spacing w:line="240" w:lineRule="auto"/>
              <w:ind w:firstLine="28" w:firstLineChars="13"/>
              <w:jc w:val="both"/>
              <w:rPr>
                <w:szCs w:val="21"/>
              </w:rPr>
            </w:pPr>
            <w:bookmarkStart w:id="52" w:name="projectAgContentEn"/>
            <w:r>
              <w:rPr>
                <w:rFonts w:ascii="Times New Roman" w:hAnsi="Times New Roman" w:eastAsia="Times New Roman" w:cs="Times New Roman"/>
                <w:sz w:val="22"/>
              </w:rPr>
              <w:t xml:space="preserve">1. Main training content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Introduction to national conditions in China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Current status and development trends of global information cloud computing and data centers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Application of fiber optic cables in constructing data center networks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Development and application of the communication big data industry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-Key technologies and solutions for cloud computing data center networks, including GPON/XGPON key technologies, OTN/POTN key technologies, ODN key technologies, and etc.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-5G mobile communication technology and its applications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Application of artificial intelligence technology in data networks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-Cloud computing, fog computing, edge computing technology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Digital information security technology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Data center and IDC planning and construction scheme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Experience in cloud computing and data center planning and construction in China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Current development status and experience exchange of cloud computing and data center construction in developing countries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Field trips (the visit city may be adjusted according to the actual situation)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(1)Visit to China Information and Communication Technology Group will be arranged to understand information and communication products and solutions, and learn about the current development status and related construction experience of information technology in China.</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(2)Visit to Hubei Chutian Cloud Co., Ltd. to learn about the planning and construction experience of the government cloud platform.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(3)Visit to Fiberhome StarrySky Co., Ltd. to learn about the planning and construction experience of smart city data centers.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About keynote speakers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Lectures will be delivered by Professor Tao Zhiyong, an expert from the International GCBI Capacity Building Group, Li Keng, a senior engineer from China Information and Communication Technology Group, as well as experts, professors, and senior engineers from Wuhan Institute of Posts and Telecommunications, Huazhong University of Science and Technology, and China University of Geosciences (Wuhan).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4. Materials to be prepared by participants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The participant needs to prepare a national report (PPT) based on their own country's basic situation, which includes: ①an introduction to the basic situation of their country ②an introduction to the basic situation of their country's Cloud computing data center, followed by a cross-country experience sharing among international participants before the closing ceremony . </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530147C"/>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2FAC7BC4"/>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F5DB39-2F79-4376-99D4-5B8E5CA7FBA6}"/>
</file>

<file path=customXml/itemProps3.xml><?xml version="1.0" encoding="utf-8"?>
<ds:datastoreItem xmlns:ds="http://schemas.openxmlformats.org/officeDocument/2006/customXml" ds:itemID="{276B0235-ADB3-4745-AEB2-24DD0ED8DB38}"/>
</file>

<file path=customXml/itemProps4.xml><?xml version="1.0" encoding="utf-8"?>
<ds:datastoreItem xmlns:ds="http://schemas.openxmlformats.org/officeDocument/2006/customXml" ds:itemID="{7795A71A-B9AB-4637-9C18-5BEC8CFE2547}"/>
</file>

<file path=docProps/app.xml><?xml version="1.0" encoding="utf-8"?>
<Properties xmlns="http://schemas.openxmlformats.org/officeDocument/2006/extended-properties" xmlns:vt="http://schemas.openxmlformats.org/officeDocument/2006/docPropsVTypes">
  <Template>Normal.dotm</Template>
  <Pages>6</Pages>
  <Words>3901</Words>
  <Characters>12043</Characters>
  <Lines>4</Lines>
  <Paragraphs>1</Paragraphs>
  <TotalTime>119</TotalTime>
  <ScaleCrop>false</ScaleCrop>
  <LinksUpToDate>false</LinksUpToDate>
  <CharactersWithSpaces>13604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2025-04-19T08:39:00Z</cp:lastPrinted>
  <dcterms:created xsi:type="dcterms:W3CDTF">2021-05-08T07:43:00Z</dcterms:created>
  <dcterms:modified xsi:type="dcterms:W3CDTF">2025-04-24T17:01:53Z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eyJoZGlkIjoiZDIyZjAwZjA5NjJhYmJkYzEyNmVmZDI1NmY1ZDhlYzEifQ==</vt:lpwstr>
  </property>
  <property fmtid="{D5CDD505-2E9C-101B-9397-08002B2CF9AE}" pid="5" name="ContentTypeId">
    <vt:lpwstr>0x0101007FDEA2B2EAF98D4F95EDAE77163DC355</vt:lpwstr>
  </property>
</Properties>
</file>