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tabs>
          <w:tab w:val="left" w:pos="1346"/>
        </w:tabs>
        <w:ind w:right="51"/>
        <w:contextualSpacing w:val="0"/>
        <w:jc w:val="center"/>
      </w:pPr>
      <w:r w:rsidDel="00000000" w:rsidR="00000000" w:rsidRPr="00000000">
        <w:rPr>
          <w:rtl w:val="0"/>
        </w:rPr>
      </w:r>
    </w:p>
    <w:p w:rsidR="00000000" w:rsidDel="00000000" w:rsidP="00000000" w:rsidRDefault="00000000" w:rsidRPr="00000000">
      <w:pPr>
        <w:tabs>
          <w:tab w:val="left" w:pos="3686"/>
        </w:tabs>
        <w:ind w:right="51"/>
        <w:contextualSpacing w:val="0"/>
        <w:jc w:val="center"/>
      </w:pPr>
      <w:r w:rsidDel="00000000" w:rsidR="00000000" w:rsidRPr="00000000">
        <w:rPr>
          <w:b w:val="1"/>
          <w:i w:val="0"/>
          <w:sz w:val="28"/>
          <w:szCs w:val="28"/>
          <w:vertAlign w:val="baseline"/>
          <w:rtl w:val="0"/>
        </w:rPr>
        <w:t xml:space="preserve">COMUNICACIÓN DE ACUERDO</w:t>
      </w:r>
      <w:r w:rsidDel="00000000" w:rsidR="00000000" w:rsidRPr="00000000">
        <w:rPr>
          <w:b w:val="1"/>
          <w:i w:val="0"/>
          <w:vertAlign w:val="baseline"/>
          <w:rtl w:val="0"/>
        </w:rPr>
        <w:t xml:space="preserve"> </w:t>
      </w:r>
      <w:r w:rsidDel="00000000" w:rsidR="00000000" w:rsidRPr="00000000">
        <w:rPr>
          <w:rtl w:val="0"/>
        </w:rPr>
      </w:r>
    </w:p>
    <w:p w:rsidR="00000000" w:rsidDel="00000000" w:rsidP="00000000" w:rsidRDefault="00000000" w:rsidRPr="00000000">
      <w:pPr>
        <w:tabs>
          <w:tab w:val="left" w:pos="3686"/>
        </w:tabs>
        <w:ind w:right="51"/>
        <w:contextualSpacing w:val="0"/>
        <w:jc w:val="center"/>
      </w:pP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b w:val="1"/>
          <w:i w:val="0"/>
          <w:sz w:val="22"/>
          <w:szCs w:val="22"/>
          <w:vertAlign w:val="baseline"/>
          <w:rtl w:val="0"/>
        </w:rPr>
        <w:t xml:space="preserve">SCI-240-2009</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b w:val="1"/>
          <w:i w:val="0"/>
          <w:sz w:val="22"/>
          <w:szCs w:val="22"/>
          <w:vertAlign w:val="baseline"/>
          <w:rtl w:val="0"/>
        </w:rPr>
        <w:t xml:space="preserve">30 de abril del 2009</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tbl>
      <w:tblPr>
        <w:tblStyle w:val="Table1"/>
        <w:bidi w:val="0"/>
        <w:tblW w:w="9610.0" w:type="dxa"/>
        <w:jc w:val="left"/>
        <w:tblInd w:w="-70.0" w:type="dxa"/>
        <w:tblLayout w:type="fixed"/>
        <w:tblLook w:val="0000"/>
      </w:tblPr>
      <w:tblGrid>
        <w:gridCol w:w="1346"/>
        <w:gridCol w:w="8264"/>
        <w:tblGridChange w:id="0">
          <w:tblGrid>
            <w:gridCol w:w="1346"/>
            <w:gridCol w:w="8264"/>
          </w:tblGrid>
        </w:tblGridChange>
      </w:tblGrid>
      <w:tr>
        <w:tc>
          <w:tcPr/>
          <w:p w:rsidR="00000000" w:rsidDel="00000000" w:rsidP="00000000" w:rsidRDefault="00000000" w:rsidRPr="00000000">
            <w:pPr>
              <w:tabs>
                <w:tab w:val="left" w:pos="3544"/>
              </w:tabs>
              <w:ind w:right="51"/>
              <w:contextualSpacing w:val="0"/>
              <w:jc w:val="right"/>
            </w:pPr>
            <w:r w:rsidDel="00000000" w:rsidR="00000000" w:rsidRPr="00000000">
              <w:rPr>
                <w:b w:val="1"/>
                <w:i w:val="0"/>
                <w:sz w:val="20"/>
                <w:szCs w:val="20"/>
                <w:vertAlign w:val="baseline"/>
                <w:rtl w:val="0"/>
              </w:rPr>
              <w:t xml:space="preserve">A:</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i w:val="0"/>
                <w:sz w:val="20"/>
                <w:szCs w:val="20"/>
                <w:vertAlign w:val="baseline"/>
                <w:rtl w:val="0"/>
              </w:rPr>
              <w:t xml:space="preserve">MSc. Eugenio Trejos Benavides, Rector </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i w:val="0"/>
                <w:sz w:val="20"/>
                <w:szCs w:val="20"/>
                <w:vertAlign w:val="baseline"/>
                <w:rtl w:val="0"/>
              </w:rPr>
              <w:t xml:space="preserve">Ing. Giannina Ortiz, Vicerrectoría de Docencia</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i w:val="0"/>
                <w:sz w:val="20"/>
                <w:szCs w:val="20"/>
                <w:vertAlign w:val="baseline"/>
                <w:rtl w:val="0"/>
              </w:rPr>
              <w:t xml:space="preserve">MBA. Hannia Rodríguez, Dirección Departamento de Recursos Humanos</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i w:val="0"/>
                <w:sz w:val="20"/>
                <w:szCs w:val="20"/>
                <w:vertAlign w:val="baseline"/>
                <w:rtl w:val="0"/>
              </w:rPr>
              <w:t xml:space="preserve">Ing. Arnoldo Rojas., Presidente Comité de Becas</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b w:val="1"/>
                <w:i w:val="0"/>
                <w:sz w:val="20"/>
                <w:szCs w:val="20"/>
                <w:vertAlign w:val="baseline"/>
                <w:rtl w:val="0"/>
              </w:rPr>
              <w:t xml:space="preserve">DE:</w:t>
            </w:r>
            <w:r w:rsidDel="00000000" w:rsidR="00000000" w:rsidRPr="00000000">
              <w:rPr>
                <w:rtl w:val="0"/>
              </w:rPr>
            </w:r>
          </w:p>
        </w:tc>
        <w:tc>
          <w:tcPr/>
          <w:p w:rsidR="00000000" w:rsidDel="00000000" w:rsidP="00000000" w:rsidRDefault="00000000" w:rsidRPr="00000000">
            <w:pPr>
              <w:ind w:left="708" w:right="51" w:hanging="708"/>
              <w:contextualSpacing w:val="0"/>
            </w:pPr>
            <w:r w:rsidDel="00000000" w:rsidR="00000000" w:rsidRPr="00000000">
              <w:rPr>
                <w:i w:val="0"/>
                <w:sz w:val="20"/>
                <w:szCs w:val="20"/>
                <w:vertAlign w:val="baseline"/>
                <w:rtl w:val="0"/>
              </w:rPr>
              <w:t xml:space="preserve">Licda. Bertalía Sánchez, Directora Ejecutiva </w:t>
            </w:r>
            <w:r w:rsidDel="00000000" w:rsidR="00000000" w:rsidRPr="00000000">
              <w:rPr>
                <w:rtl w:val="0"/>
              </w:rPr>
            </w:r>
          </w:p>
          <w:p w:rsidR="00000000" w:rsidDel="00000000" w:rsidP="00000000" w:rsidRDefault="00000000" w:rsidRPr="00000000">
            <w:pPr>
              <w:ind w:left="708" w:right="51" w:hanging="708"/>
              <w:contextualSpacing w:val="0"/>
            </w:pPr>
            <w:r w:rsidDel="00000000" w:rsidR="00000000" w:rsidRPr="00000000">
              <w:rPr>
                <w:i w:val="0"/>
                <w:sz w:val="20"/>
                <w:szCs w:val="20"/>
                <w:vertAlign w:val="baseline"/>
                <w:rtl w:val="0"/>
              </w:rPr>
              <w:t xml:space="preserve">Secretaría del Consejo Institucional</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ind w:left="708" w:right="51" w:hanging="708"/>
              <w:contextualSpacing w:val="0"/>
            </w:pPr>
            <w:r w:rsidDel="00000000" w:rsidR="00000000" w:rsidRPr="00000000">
              <w:rPr>
                <w:rtl w:val="0"/>
              </w:rPr>
            </w:r>
          </w:p>
        </w:tc>
      </w:tr>
      <w:tr>
        <w:tc>
          <w:tcPr/>
          <w:p w:rsidR="00000000" w:rsidDel="00000000" w:rsidP="00000000" w:rsidRDefault="00000000" w:rsidRPr="00000000">
            <w:pPr>
              <w:ind w:right="51"/>
              <w:contextualSpacing w:val="0"/>
              <w:jc w:val="right"/>
            </w:pPr>
            <w:r w:rsidDel="00000000" w:rsidR="00000000" w:rsidRPr="00000000">
              <w:rPr>
                <w:b w:val="1"/>
                <w:i w:val="0"/>
                <w:sz w:val="20"/>
                <w:szCs w:val="20"/>
                <w:vertAlign w:val="baseline"/>
                <w:rtl w:val="0"/>
              </w:rPr>
              <w:t xml:space="preserve">ASUNTO:</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b w:val="1"/>
                <w:i w:val="0"/>
                <w:sz w:val="20"/>
                <w:szCs w:val="20"/>
                <w:vertAlign w:val="baseline"/>
                <w:rtl w:val="0"/>
              </w:rPr>
              <w:t xml:space="preserve">Sesión Ordinaria No. 2605, Artículo 9, del 30 de abril del 2009.  “Modificación del Artículo 23 del Reglamento de Becas para el Personal del ITCR”.</w:t>
            </w:r>
            <w:r w:rsidDel="00000000" w:rsidR="00000000" w:rsidRPr="00000000">
              <w:rPr>
                <w:rtl w:val="0"/>
              </w:rPr>
            </w:r>
          </w:p>
        </w:tc>
      </w:tr>
    </w:tbl>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2"/>
          <w:szCs w:val="22"/>
          <w:vertAlign w:val="baseline"/>
          <w:rtl w:val="0"/>
        </w:rPr>
        <w:t xml:space="preserve">Para los fines correspondientes se transcribe el acuerdo citado en la referencia, el cual dice: </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Resultando:</w:t>
      </w:r>
      <w:r w:rsidDel="00000000" w:rsidR="00000000" w:rsidRPr="00000000">
        <w:rPr>
          <w:rtl w:val="0"/>
        </w:rPr>
      </w:r>
    </w:p>
    <w:p w:rsidR="00000000" w:rsidDel="00000000" w:rsidP="00000000" w:rsidRDefault="00000000" w:rsidRPr="00000000">
      <w:pPr>
        <w:spacing w:after="0" w:before="0" w:line="240" w:lineRule="auto"/>
        <w:ind w:left="1680" w:hanging="1680"/>
        <w:contextualSpacing w:val="0"/>
        <w:jc w:val="both"/>
      </w:pPr>
      <w:r w:rsidDel="00000000" w:rsidR="00000000" w:rsidRPr="00000000">
        <w:rPr>
          <w:rtl w:val="0"/>
        </w:rPr>
      </w:r>
    </w:p>
    <w:p w:rsidR="00000000" w:rsidDel="00000000" w:rsidP="00000000" w:rsidRDefault="00000000" w:rsidRPr="00000000">
      <w:pPr>
        <w:widowControl w:val="0"/>
        <w:numPr>
          <w:ilvl w:val="0"/>
          <w:numId w:val="2"/>
        </w:numPr>
        <w:spacing w:after="0" w:before="0" w:line="240" w:lineRule="auto"/>
        <w:ind w:left="360" w:hanging="360"/>
        <w:jc w:val="both"/>
        <w:rPr/>
      </w:pPr>
      <w:r w:rsidDel="00000000" w:rsidR="00000000" w:rsidRPr="00000000">
        <w:rPr>
          <w:rFonts w:ascii="Arial" w:cs="Arial" w:eastAsia="Arial" w:hAnsi="Arial"/>
          <w:b w:val="0"/>
          <w:sz w:val="24"/>
          <w:szCs w:val="24"/>
          <w:vertAlign w:val="baseline"/>
          <w:rtl w:val="0"/>
        </w:rPr>
        <w:t xml:space="preserve">El Consejo Institucional en la Sesión Ordinaria No. 2512, Artículo 10, del 17 de mayo del 2007, modificó el Artículo 23 del Reglamento de Becas para el Personal, (Publicado en Gaceta No. 224); con objetivo principal de agilizar el trámite de aprobación de la participación de funcionarios(as) en eventos de corta duración que no impliquen erogación económica  por parte del Instituto, el cual establece lo siguiente:</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ind w:left="480" w:firstLine="0"/>
        <w:contextualSpacing w:val="0"/>
        <w:jc w:val="both"/>
      </w:pPr>
      <w:r w:rsidDel="00000000" w:rsidR="00000000" w:rsidRPr="00000000">
        <w:rPr>
          <w:rFonts w:ascii="Arial" w:cs="Arial" w:eastAsia="Arial" w:hAnsi="Arial"/>
          <w:b w:val="0"/>
          <w:i w:val="1"/>
          <w:sz w:val="22"/>
          <w:szCs w:val="22"/>
          <w:vertAlign w:val="baseline"/>
          <w:rtl w:val="0"/>
        </w:rPr>
        <w:t xml:space="preserve">“Artículo 23.</w:t>
      </w:r>
      <w:r w:rsidDel="00000000" w:rsidR="00000000" w:rsidRPr="00000000">
        <w:rPr>
          <w:rtl w:val="0"/>
        </w:rPr>
      </w:r>
    </w:p>
    <w:p w:rsidR="00000000" w:rsidDel="00000000" w:rsidP="00000000" w:rsidRDefault="00000000" w:rsidRPr="00000000">
      <w:pPr>
        <w:ind w:left="480" w:firstLine="0"/>
        <w:contextualSpacing w:val="0"/>
        <w:jc w:val="both"/>
      </w:pPr>
      <w:r w:rsidDel="00000000" w:rsidR="00000000" w:rsidRPr="00000000">
        <w:rPr>
          <w:i w:val="1"/>
          <w:sz w:val="22"/>
          <w:szCs w:val="22"/>
          <w:vertAlign w:val="baseline"/>
          <w:rtl w:val="0"/>
        </w:rPr>
        <w:t xml:space="preserve">La participación de funcionarios y de funcionarias en actividades de capacitación que no requieran autorización de recursos por parte del Comité de Becas, serán autorizados directamente por el Consejo de Departamento, cuanto éste exista, o por el superior jerárquico en los otros casos. </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ind w:left="480" w:firstLine="0"/>
        <w:contextualSpacing w:val="0"/>
        <w:jc w:val="both"/>
      </w:pPr>
      <w:r w:rsidDel="00000000" w:rsidR="00000000" w:rsidRPr="00000000">
        <w:rPr>
          <w:i w:val="1"/>
          <w:sz w:val="22"/>
          <w:szCs w:val="22"/>
          <w:vertAlign w:val="baseline"/>
          <w:rtl w:val="0"/>
        </w:rPr>
        <w:t xml:space="preserve">La participación en este tipo de actividades no requiere de la aprobación del Comité de Becas, pero será responsabilidad del superior jerárquico del funcionario comunicar al Comité de Becas los acuerdos respectivos para realizar el registro de participación.</w:t>
      </w:r>
      <w:r w:rsidDel="00000000" w:rsidR="00000000" w:rsidRPr="00000000">
        <w:rPr>
          <w:rtl w:val="0"/>
        </w:rPr>
      </w:r>
    </w:p>
    <w:p w:rsidR="00000000" w:rsidDel="00000000" w:rsidP="00000000" w:rsidRDefault="00000000" w:rsidRPr="00000000">
      <w:pPr>
        <w:ind w:left="480" w:firstLine="0"/>
        <w:contextualSpacing w:val="0"/>
        <w:jc w:val="both"/>
      </w:pPr>
      <w:r w:rsidDel="00000000" w:rsidR="00000000" w:rsidRPr="00000000">
        <w:rPr>
          <w:rtl w:val="0"/>
        </w:rPr>
      </w:r>
    </w:p>
    <w:p w:rsidR="00000000" w:rsidDel="00000000" w:rsidP="00000000" w:rsidRDefault="00000000" w:rsidRPr="00000000">
      <w:pPr>
        <w:ind w:left="480" w:firstLine="0"/>
        <w:contextualSpacing w:val="0"/>
        <w:jc w:val="both"/>
      </w:pPr>
      <w:r w:rsidDel="00000000" w:rsidR="00000000" w:rsidRPr="00000000">
        <w:rPr>
          <w:i w:val="1"/>
          <w:sz w:val="22"/>
          <w:szCs w:val="22"/>
          <w:vertAlign w:val="baseline"/>
          <w:rtl w:val="0"/>
        </w:rPr>
        <w:t xml:space="preserve">Al concluir la actividad de capacitación autorizada por el Consejo de Departamento o por su superior jerárquico, el funcionario deberá entregar una copia del certificado de aprobación o participación, según corresponda, al Comité de becas, al Departamento de Recursos Humanos y su superior jerárquico”.</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widowControl w:val="0"/>
        <w:numPr>
          <w:ilvl w:val="0"/>
          <w:numId w:val="2"/>
        </w:numPr>
        <w:spacing w:after="0" w:before="0" w:line="240" w:lineRule="auto"/>
        <w:ind w:left="360" w:hanging="360"/>
        <w:jc w:val="both"/>
        <w:rPr/>
      </w:pPr>
      <w:r w:rsidDel="00000000" w:rsidR="00000000" w:rsidRPr="00000000">
        <w:rPr>
          <w:rFonts w:ascii="Arial" w:cs="Arial" w:eastAsia="Arial" w:hAnsi="Arial"/>
          <w:b w:val="0"/>
          <w:sz w:val="24"/>
          <w:szCs w:val="24"/>
          <w:vertAlign w:val="baseline"/>
          <w:rtl w:val="0"/>
        </w:rPr>
        <w:t xml:space="preserve">El 27 de marzo de 2009, la Ing. Giannina Ortiz Q, Vicerrectora de Docencia, mediante memorando ViDa-0309-2009, comunica al Ing. Arnoldo Rojas, Presidente Comité de Becas el acuerdo tomado por el Consejo de Docencia en su Sesión  Ordinaria  No. 05-2009, del 25  de  marzo del 2009, artículo 5, inciso a, </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i w:val="0"/>
          <w:sz w:val="18"/>
          <w:szCs w:val="18"/>
          <w:vertAlign w:val="baseline"/>
          <w:rtl w:val="0"/>
        </w:rPr>
        <w:t xml:space="preserve">COMUNICACIÓN DE ACUERDO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1"/>
          <w:sz w:val="18"/>
          <w:szCs w:val="18"/>
          <w:vertAlign w:val="baseline"/>
          <w:rtl w:val="0"/>
        </w:rPr>
        <w:t xml:space="preserve">Sesión No. 2605, Artículo 9 del 30 de abril del 2009</w:t>
      </w:r>
      <w:r w:rsidDel="00000000" w:rsidR="00000000" w:rsidRPr="00000000">
        <w:rPr>
          <w:rtl w:val="0"/>
        </w:rPr>
      </w:r>
    </w:p>
    <w:p w:rsidR="00000000" w:rsidDel="00000000" w:rsidP="00000000" w:rsidRDefault="00000000" w:rsidRPr="00000000">
      <w:pPr>
        <w:contextualSpacing w:val="0"/>
      </w:pPr>
      <w:r w:rsidDel="00000000" w:rsidR="00000000" w:rsidRPr="00000000">
        <w:rPr>
          <w:i w:val="1"/>
          <w:sz w:val="18"/>
          <w:szCs w:val="18"/>
          <w:vertAlign w:val="baseline"/>
          <w:rtl w:val="0"/>
        </w:rPr>
        <w:t xml:space="preserve">Página 2</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tl w:val="0"/>
        </w:rPr>
      </w:r>
    </w:p>
    <w:p w:rsidR="00000000" w:rsidDel="00000000" w:rsidP="00000000" w:rsidRDefault="00000000" w:rsidRPr="00000000">
      <w:pPr>
        <w:widowControl w:val="0"/>
        <w:spacing w:after="0" w:before="0" w:line="240" w:lineRule="auto"/>
        <w:ind w:left="360" w:firstLine="0"/>
        <w:contextualSpacing w:val="0"/>
        <w:jc w:val="both"/>
      </w:pPr>
      <w:r w:rsidDel="00000000" w:rsidR="00000000" w:rsidRPr="00000000">
        <w:rPr>
          <w:rFonts w:ascii="Arial" w:cs="Arial" w:eastAsia="Arial" w:hAnsi="Arial"/>
          <w:b w:val="0"/>
          <w:sz w:val="24"/>
          <w:szCs w:val="24"/>
          <w:vertAlign w:val="baseline"/>
          <w:rtl w:val="0"/>
        </w:rPr>
        <w:t xml:space="preserve">mediante el cual propone modificar el Artículo 23 del Reglamento de Becas, para que se lea de la siguiente manera:</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ind w:left="480" w:right="252" w:firstLine="0"/>
        <w:contextualSpacing w:val="0"/>
        <w:jc w:val="both"/>
      </w:pPr>
      <w:r w:rsidDel="00000000" w:rsidR="00000000" w:rsidRPr="00000000">
        <w:rPr>
          <w:rFonts w:ascii="Arial" w:cs="Arial" w:eastAsia="Arial" w:hAnsi="Arial"/>
          <w:b w:val="0"/>
          <w:i w:val="1"/>
          <w:sz w:val="22"/>
          <w:szCs w:val="22"/>
          <w:vertAlign w:val="baseline"/>
          <w:rtl w:val="0"/>
        </w:rPr>
        <w:t xml:space="preserve">“Artículo 23 </w:t>
      </w:r>
      <w:r w:rsidDel="00000000" w:rsidR="00000000" w:rsidRPr="00000000">
        <w:rPr>
          <w:rtl w:val="0"/>
        </w:rPr>
      </w:r>
    </w:p>
    <w:p w:rsidR="00000000" w:rsidDel="00000000" w:rsidP="00000000" w:rsidRDefault="00000000" w:rsidRPr="00000000">
      <w:pPr>
        <w:spacing w:after="0" w:before="0" w:line="240" w:lineRule="auto"/>
        <w:ind w:left="480" w:right="252" w:firstLine="0"/>
        <w:contextualSpacing w:val="0"/>
        <w:jc w:val="both"/>
      </w:pPr>
      <w:r w:rsidDel="00000000" w:rsidR="00000000" w:rsidRPr="00000000">
        <w:rPr>
          <w:rFonts w:ascii="Arial" w:cs="Arial" w:eastAsia="Arial" w:hAnsi="Arial"/>
          <w:b w:val="0"/>
          <w:i w:val="1"/>
          <w:sz w:val="22"/>
          <w:szCs w:val="22"/>
          <w:vertAlign w:val="baseline"/>
          <w:rtl w:val="0"/>
        </w:rPr>
        <w:t xml:space="preserve">La participación de funcionarios y de funcionarias en actividades de capacitación tales como seminarios, simposios, congresos, cursos de adiestramiento u otros análogos, que no requieran sustitución ni autorización de recursos económicos por parte del Comité de Becas, y de duración menor a un mes, serán autorizados directamente por el Consejo de Escuela o Departamento, cuanto éste exista, o por el superior jerárquico en los otros casos, tomando en consideración los requisitos establecidos para el otorgamiento de becas de este reglamento.</w:t>
      </w:r>
      <w:r w:rsidDel="00000000" w:rsidR="00000000" w:rsidRPr="00000000">
        <w:rPr>
          <w:rtl w:val="0"/>
        </w:rPr>
      </w:r>
    </w:p>
    <w:p w:rsidR="00000000" w:rsidDel="00000000" w:rsidP="00000000" w:rsidRDefault="00000000" w:rsidRPr="00000000">
      <w:pPr>
        <w:spacing w:after="0" w:before="0" w:line="240" w:lineRule="auto"/>
        <w:ind w:left="480" w:right="252"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480" w:right="252" w:firstLine="0"/>
        <w:contextualSpacing w:val="0"/>
        <w:jc w:val="both"/>
      </w:pPr>
      <w:r w:rsidDel="00000000" w:rsidR="00000000" w:rsidRPr="00000000">
        <w:rPr>
          <w:rFonts w:ascii="Arial" w:cs="Arial" w:eastAsia="Arial" w:hAnsi="Arial"/>
          <w:b w:val="0"/>
          <w:i w:val="1"/>
          <w:sz w:val="22"/>
          <w:szCs w:val="22"/>
          <w:vertAlign w:val="baseline"/>
          <w:rtl w:val="0"/>
        </w:rPr>
        <w:t xml:space="preserve">La participación en este tipo de actividades no requiere de la aprobación del Comité de Becas, pero será responsabilidad del superior jerárquico del funcionario comunicar al Comité de Becas los acuerdos respectivos para realizar el registro de participación.</w:t>
      </w:r>
      <w:r w:rsidDel="00000000" w:rsidR="00000000" w:rsidRPr="00000000">
        <w:rPr>
          <w:rtl w:val="0"/>
        </w:rPr>
      </w:r>
    </w:p>
    <w:p w:rsidR="00000000" w:rsidDel="00000000" w:rsidP="00000000" w:rsidRDefault="00000000" w:rsidRPr="00000000">
      <w:pPr>
        <w:spacing w:after="0" w:before="0" w:line="240" w:lineRule="auto"/>
        <w:ind w:left="480" w:right="252"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480" w:firstLine="0"/>
        <w:contextualSpacing w:val="0"/>
        <w:jc w:val="both"/>
      </w:pPr>
      <w:r w:rsidDel="00000000" w:rsidR="00000000" w:rsidRPr="00000000">
        <w:rPr>
          <w:rFonts w:ascii="Arial" w:cs="Arial" w:eastAsia="Arial" w:hAnsi="Arial"/>
          <w:b w:val="0"/>
          <w:i w:val="1"/>
          <w:sz w:val="22"/>
          <w:szCs w:val="22"/>
          <w:vertAlign w:val="baseline"/>
          <w:rtl w:val="0"/>
        </w:rPr>
        <w:t xml:space="preserve">Al concluir la actividad de capacitación autorizada por el Consejo de Departamento o Escuela o por su superior jerárquico, el funcionario deberá entregar una copia del certificado de aprobación o participación, según corresponda, al Comité de Becas”.</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widowControl w:val="0"/>
        <w:numPr>
          <w:ilvl w:val="0"/>
          <w:numId w:val="2"/>
        </w:numPr>
        <w:spacing w:after="0" w:before="0" w:line="240" w:lineRule="auto"/>
        <w:ind w:left="360" w:hanging="360"/>
        <w:jc w:val="both"/>
        <w:rPr/>
      </w:pPr>
      <w:r w:rsidDel="00000000" w:rsidR="00000000" w:rsidRPr="00000000">
        <w:rPr>
          <w:rFonts w:ascii="Arial" w:cs="Arial" w:eastAsia="Arial" w:hAnsi="Arial"/>
          <w:b w:val="0"/>
          <w:sz w:val="24"/>
          <w:szCs w:val="24"/>
          <w:vertAlign w:val="baseline"/>
          <w:rtl w:val="0"/>
        </w:rPr>
        <w:t xml:space="preserve">El 21 de abril  del 2009, el Máster Arnoldo Rojas Coto, Presidente del Comité de Becas, mediante memorando PB-374-2009, dirigido al MSc. Eugenio Trejos Benavides, Presidente del Consejo Institucional, comunica el “Aval del Consejo de Docencia”, y presenta la propuesta de modificación al Artículo 23 del Reglamento de Becas, planteada por el Consejo de Docencia para que sea analizada y aprobada por parte del Consejo Institucional.</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Considerando:</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widowControl w:val="0"/>
        <w:numPr>
          <w:ilvl w:val="0"/>
          <w:numId w:val="3"/>
        </w:numPr>
        <w:spacing w:after="0" w:before="0" w:line="240" w:lineRule="auto"/>
        <w:ind w:left="360" w:hanging="360"/>
        <w:jc w:val="both"/>
        <w:rPr/>
      </w:pPr>
      <w:r w:rsidDel="00000000" w:rsidR="00000000" w:rsidRPr="00000000">
        <w:rPr>
          <w:rFonts w:ascii="Arial" w:cs="Arial" w:eastAsia="Arial" w:hAnsi="Arial"/>
          <w:b w:val="0"/>
          <w:sz w:val="24"/>
          <w:szCs w:val="24"/>
          <w:vertAlign w:val="baseline"/>
          <w:rtl w:val="0"/>
        </w:rPr>
        <w:t xml:space="preserve">En la práctica, se han presentado casos de participación  de funcionarios(as) en eventos de larga duración y con sustitución, sin la participación del Comité de Becas lo cual es contrario a lo dispuesto por el Artículo 23 del Reglamento de Becas por lo que es importante prevenir que se repita tal tipo de situaciones.</w:t>
      </w:r>
    </w:p>
    <w:p w:rsidR="00000000" w:rsidDel="00000000" w:rsidP="00000000" w:rsidRDefault="00000000" w:rsidRPr="00000000">
      <w:pPr>
        <w:widowControl w:val="0"/>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SE ACUERDA: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widowControl w:val="0"/>
        <w:numPr>
          <w:ilvl w:val="0"/>
          <w:numId w:val="1"/>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Modificar el artículo 23 del Reglamento de Becas para el Personal del ITCR, para que se lea de la siguiente manera:</w:t>
      </w:r>
    </w:p>
    <w:p w:rsidR="00000000" w:rsidDel="00000000" w:rsidP="00000000" w:rsidRDefault="00000000" w:rsidRPr="00000000">
      <w:pPr>
        <w:widowControl w:val="0"/>
        <w:spacing w:after="0" w:before="0" w:line="240" w:lineRule="auto"/>
        <w:contextualSpacing w:val="0"/>
        <w:jc w:val="both"/>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i w:val="0"/>
          <w:sz w:val="18"/>
          <w:szCs w:val="18"/>
          <w:vertAlign w:val="baseline"/>
          <w:rtl w:val="0"/>
        </w:rPr>
        <w:t xml:space="preserve">COMUNICACIÓN DE ACUERDO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1"/>
          <w:sz w:val="18"/>
          <w:szCs w:val="18"/>
          <w:vertAlign w:val="baseline"/>
          <w:rtl w:val="0"/>
        </w:rPr>
        <w:t xml:space="preserve">Sesión No. 2605, Artículo 9 del 30 de abril del 2009</w:t>
      </w:r>
      <w:r w:rsidDel="00000000" w:rsidR="00000000" w:rsidRPr="00000000">
        <w:rPr>
          <w:rtl w:val="0"/>
        </w:rPr>
      </w:r>
    </w:p>
    <w:p w:rsidR="00000000" w:rsidDel="00000000" w:rsidP="00000000" w:rsidRDefault="00000000" w:rsidRPr="00000000">
      <w:pPr>
        <w:contextualSpacing w:val="0"/>
      </w:pPr>
      <w:r w:rsidDel="00000000" w:rsidR="00000000" w:rsidRPr="00000000">
        <w:rPr>
          <w:i w:val="1"/>
          <w:sz w:val="18"/>
          <w:szCs w:val="18"/>
          <w:vertAlign w:val="baseline"/>
          <w:rtl w:val="0"/>
        </w:rPr>
        <w:t xml:space="preserve">Página 3</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ind w:left="480" w:right="252" w:firstLine="0"/>
        <w:contextualSpacing w:val="0"/>
        <w:jc w:val="both"/>
      </w:pPr>
      <w:r w:rsidDel="00000000" w:rsidR="00000000" w:rsidRPr="00000000">
        <w:rPr>
          <w:rFonts w:ascii="Arial" w:cs="Arial" w:eastAsia="Arial" w:hAnsi="Arial"/>
          <w:b w:val="0"/>
          <w:i w:val="1"/>
          <w:sz w:val="22"/>
          <w:szCs w:val="22"/>
          <w:vertAlign w:val="baseline"/>
          <w:rtl w:val="0"/>
        </w:rPr>
        <w:t xml:space="preserve">“Artículo 23 </w:t>
      </w:r>
      <w:r w:rsidDel="00000000" w:rsidR="00000000" w:rsidRPr="00000000">
        <w:rPr>
          <w:rtl w:val="0"/>
        </w:rPr>
      </w:r>
    </w:p>
    <w:p w:rsidR="00000000" w:rsidDel="00000000" w:rsidP="00000000" w:rsidRDefault="00000000" w:rsidRPr="00000000">
      <w:pPr>
        <w:spacing w:after="0" w:before="0" w:line="240" w:lineRule="auto"/>
        <w:ind w:left="480" w:right="252" w:firstLine="0"/>
        <w:contextualSpacing w:val="0"/>
        <w:jc w:val="both"/>
      </w:pPr>
      <w:r w:rsidDel="00000000" w:rsidR="00000000" w:rsidRPr="00000000">
        <w:rPr>
          <w:rFonts w:ascii="Arial" w:cs="Arial" w:eastAsia="Arial" w:hAnsi="Arial"/>
          <w:b w:val="0"/>
          <w:i w:val="1"/>
          <w:sz w:val="22"/>
          <w:szCs w:val="22"/>
          <w:vertAlign w:val="baseline"/>
          <w:rtl w:val="0"/>
        </w:rPr>
        <w:t xml:space="preserve">La participación de funcionarios y de funcionarias en actividades de capacitación tales como seminarios, simposios, congresos, cursos de adiestramiento u otros análogos, que requieran permiso con goce de salario y que no necesiten sustitución ni autorización de recursos económicos y de duración menor a un mes, serán autorizados directamente por el Consejo de Escuela o Departamento, cuanto éste exista, o por el superior jerárquico en los otros casos, tomando en consideración los requisitos establecidos para el otorgamiento de becas de este reglamento.</w:t>
      </w:r>
      <w:r w:rsidDel="00000000" w:rsidR="00000000" w:rsidRPr="00000000">
        <w:rPr>
          <w:rtl w:val="0"/>
        </w:rPr>
      </w:r>
    </w:p>
    <w:p w:rsidR="00000000" w:rsidDel="00000000" w:rsidP="00000000" w:rsidRDefault="00000000" w:rsidRPr="00000000">
      <w:pPr>
        <w:spacing w:after="0" w:before="0" w:line="240" w:lineRule="auto"/>
        <w:ind w:left="480" w:right="252"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480" w:right="252" w:firstLine="0"/>
        <w:contextualSpacing w:val="0"/>
        <w:jc w:val="both"/>
      </w:pPr>
      <w:r w:rsidDel="00000000" w:rsidR="00000000" w:rsidRPr="00000000">
        <w:rPr>
          <w:rFonts w:ascii="Arial" w:cs="Arial" w:eastAsia="Arial" w:hAnsi="Arial"/>
          <w:b w:val="0"/>
          <w:i w:val="1"/>
          <w:sz w:val="22"/>
          <w:szCs w:val="22"/>
          <w:vertAlign w:val="baseline"/>
          <w:rtl w:val="0"/>
        </w:rPr>
        <w:t xml:space="preserve">La participación en este tipo de actividades no requiere de la aprobación del Comité de Becas, pero será responsabilidad del superior jerárquico del funcionario comunicar al Comité de Becas los acuerdos respectivos para realizar el registro de participación.</w:t>
      </w:r>
      <w:r w:rsidDel="00000000" w:rsidR="00000000" w:rsidRPr="00000000">
        <w:rPr>
          <w:rtl w:val="0"/>
        </w:rPr>
      </w:r>
    </w:p>
    <w:p w:rsidR="00000000" w:rsidDel="00000000" w:rsidP="00000000" w:rsidRDefault="00000000" w:rsidRPr="00000000">
      <w:pPr>
        <w:spacing w:after="0" w:before="0" w:line="240" w:lineRule="auto"/>
        <w:ind w:left="480" w:right="252"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480" w:firstLine="0"/>
        <w:contextualSpacing w:val="0"/>
        <w:jc w:val="both"/>
      </w:pPr>
      <w:r w:rsidDel="00000000" w:rsidR="00000000" w:rsidRPr="00000000">
        <w:rPr>
          <w:rFonts w:ascii="Arial" w:cs="Arial" w:eastAsia="Arial" w:hAnsi="Arial"/>
          <w:b w:val="0"/>
          <w:i w:val="1"/>
          <w:sz w:val="22"/>
          <w:szCs w:val="22"/>
          <w:vertAlign w:val="baseline"/>
          <w:rtl w:val="0"/>
        </w:rPr>
        <w:t xml:space="preserve">Al concluir la actividad de capacitación autorizada por el Consejo de Departamento o Escuela o por su superior jerárquico, el funcionario deberá entregar una copia del certificado de aprobación o participación, según corresponda, al Comité de Becas”.</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widowControl w:val="0"/>
        <w:numPr>
          <w:ilvl w:val="0"/>
          <w:numId w:val="1"/>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Comunicar</w:t>
      </w:r>
      <w:r w:rsidDel="00000000" w:rsidR="00000000" w:rsidRPr="00000000">
        <w:rPr>
          <w:rFonts w:ascii="Arial" w:cs="Arial" w:eastAsia="Arial" w:hAnsi="Arial"/>
          <w:b w:val="0"/>
          <w:i w:val="1"/>
          <w:sz w:val="24"/>
          <w:szCs w:val="24"/>
          <w:vertAlign w:val="baseline"/>
          <w:rtl w:val="0"/>
        </w:rPr>
        <w:t xml:space="preserve">.  </w:t>
      </w:r>
      <w:r w:rsidDel="00000000" w:rsidR="00000000" w:rsidRPr="00000000">
        <w:rPr>
          <w:rFonts w:ascii="Arial" w:cs="Arial" w:eastAsia="Arial" w:hAnsi="Arial"/>
          <w:b w:val="1"/>
          <w:i w:val="1"/>
          <w:sz w:val="24"/>
          <w:szCs w:val="24"/>
          <w:vertAlign w:val="baseline"/>
          <w:rtl w:val="0"/>
        </w:rPr>
        <w:t xml:space="preserve">ACUERDO FIRME.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i w:val="1"/>
          <w:sz w:val="18"/>
          <w:szCs w:val="18"/>
          <w:vertAlign w:val="baseline"/>
          <w:rtl w:val="0"/>
        </w:rPr>
        <w:t xml:space="preserve">BSS/apmc</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2"/>
        <w:bidi w:val="0"/>
        <w:tblW w:w="9500.0" w:type="dxa"/>
        <w:jc w:val="left"/>
        <w:tblInd w:w="-70.0" w:type="dxa"/>
        <w:tblLayout w:type="fixed"/>
        <w:tblLook w:val="0000"/>
      </w:tblPr>
      <w:tblGrid>
        <w:gridCol w:w="4750"/>
        <w:gridCol w:w="4750"/>
        <w:tblGridChange w:id="0">
          <w:tblGrid>
            <w:gridCol w:w="4750"/>
            <w:gridCol w:w="4750"/>
          </w:tblGrid>
        </w:tblGridChange>
      </w:tblGrid>
      <w:tr>
        <w:tc>
          <w:tcPr/>
          <w:p w:rsidR="00000000" w:rsidDel="00000000" w:rsidP="00000000" w:rsidRDefault="00000000" w:rsidRPr="00000000">
            <w:pPr>
              <w:ind w:left="284" w:right="567" w:hanging="284"/>
              <w:contextualSpacing w:val="0"/>
              <w:jc w:val="both"/>
            </w:pPr>
            <w:r w:rsidDel="00000000" w:rsidR="00000000" w:rsidRPr="00000000">
              <w:rPr>
                <w:b w:val="1"/>
                <w:i w:val="0"/>
                <w:sz w:val="18"/>
                <w:szCs w:val="18"/>
                <w:vertAlign w:val="baseline"/>
                <w:rtl w:val="0"/>
              </w:rPr>
              <w:t xml:space="preserve">ci.   Secretaría del Consejo Institucional </w:t>
            </w:r>
            <w:r w:rsidDel="00000000" w:rsidR="00000000" w:rsidRPr="00000000">
              <w:rPr>
                <w:rtl w:val="0"/>
              </w:rPr>
            </w:r>
          </w:p>
        </w:tc>
        <w:tc>
          <w:tcPr/>
          <w:p w:rsidR="00000000" w:rsidDel="00000000" w:rsidP="00000000" w:rsidRDefault="00000000" w:rsidRPr="00000000">
            <w:pPr>
              <w:ind w:left="284" w:right="567" w:firstLine="0"/>
              <w:contextualSpacing w:val="0"/>
              <w:jc w:val="both"/>
            </w:pPr>
            <w:r w:rsidDel="00000000" w:rsidR="00000000" w:rsidRPr="00000000">
              <w:rPr>
                <w:b w:val="1"/>
                <w:i w:val="0"/>
                <w:sz w:val="18"/>
                <w:szCs w:val="18"/>
                <w:vertAlign w:val="baseline"/>
                <w:rtl w:val="0"/>
              </w:rPr>
              <w:t xml:space="preserve">Centro de Archivo y Comunicaciones</w:t>
            </w: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b w:val="1"/>
                <w:i w:val="0"/>
                <w:sz w:val="18"/>
                <w:szCs w:val="18"/>
                <w:vertAlign w:val="baseline"/>
                <w:rtl w:val="0"/>
              </w:rPr>
              <w:t xml:space="preserve">Auditoría Interna</w:t>
            </w:r>
            <w:r w:rsidDel="00000000" w:rsidR="00000000" w:rsidRPr="00000000">
              <w:rPr>
                <w:rtl w:val="0"/>
              </w:rPr>
            </w:r>
          </w:p>
        </w:tc>
        <w:tc>
          <w:tcPr/>
          <w:p w:rsidR="00000000" w:rsidDel="00000000" w:rsidP="00000000" w:rsidRDefault="00000000" w:rsidRPr="00000000">
            <w:pPr>
              <w:ind w:left="284" w:right="567" w:firstLine="0"/>
              <w:contextualSpacing w:val="0"/>
              <w:jc w:val="both"/>
            </w:pPr>
            <w:r w:rsidDel="00000000" w:rsidR="00000000" w:rsidRPr="00000000">
              <w:rPr>
                <w:b w:val="1"/>
                <w:i w:val="0"/>
                <w:sz w:val="18"/>
                <w:szCs w:val="18"/>
                <w:vertAlign w:val="baseline"/>
                <w:rtl w:val="0"/>
              </w:rPr>
              <w:t xml:space="preserve">FEITEC</w:t>
            </w: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b w:val="1"/>
                <w:i w:val="0"/>
                <w:sz w:val="18"/>
                <w:szCs w:val="18"/>
                <w:vertAlign w:val="baseline"/>
                <w:rtl w:val="0"/>
              </w:rPr>
              <w:t xml:space="preserve">Asesoría Legal </w:t>
            </w:r>
            <w:r w:rsidDel="00000000" w:rsidR="00000000" w:rsidRPr="00000000">
              <w:rPr>
                <w:rtl w:val="0"/>
              </w:rPr>
            </w:r>
          </w:p>
        </w:tc>
        <w:tc>
          <w:tcPr/>
          <w:p w:rsidR="00000000" w:rsidDel="00000000" w:rsidP="00000000" w:rsidRDefault="00000000" w:rsidRPr="00000000">
            <w:pPr>
              <w:ind w:left="284" w:right="567" w:firstLine="0"/>
              <w:contextualSpacing w:val="0"/>
              <w:jc w:val="both"/>
            </w:pP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b w:val="1"/>
                <w:i w:val="0"/>
                <w:sz w:val="18"/>
                <w:szCs w:val="18"/>
                <w:vertAlign w:val="baseline"/>
                <w:rtl w:val="0"/>
              </w:rPr>
              <w:t xml:space="preserve">Centro Académico</w:t>
            </w:r>
            <w:r w:rsidDel="00000000" w:rsidR="00000000" w:rsidRPr="00000000">
              <w:rPr>
                <w:rtl w:val="0"/>
              </w:rPr>
            </w:r>
          </w:p>
        </w:tc>
        <w:tc>
          <w:tcPr/>
          <w:p w:rsidR="00000000" w:rsidDel="00000000" w:rsidP="00000000" w:rsidRDefault="00000000" w:rsidRPr="00000000">
            <w:pPr>
              <w:ind w:left="284" w:right="567" w:firstLine="0"/>
              <w:contextualSpacing w:val="0"/>
              <w:jc w:val="both"/>
            </w:pP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b w:val="1"/>
                <w:i w:val="0"/>
                <w:sz w:val="18"/>
                <w:szCs w:val="18"/>
                <w:vertAlign w:val="baseline"/>
                <w:rtl w:val="0"/>
              </w:rPr>
              <w:t xml:space="preserve">Sede Regional San Carlos</w:t>
            </w:r>
            <w:r w:rsidDel="00000000" w:rsidR="00000000" w:rsidRPr="00000000">
              <w:rPr>
                <w:rtl w:val="0"/>
              </w:rPr>
            </w:r>
          </w:p>
        </w:tc>
        <w:tc>
          <w:tcPr/>
          <w:p w:rsidR="00000000" w:rsidDel="00000000" w:rsidP="00000000" w:rsidRDefault="00000000" w:rsidRPr="00000000">
            <w:pPr>
              <w:ind w:left="284" w:right="567" w:firstLine="0"/>
              <w:contextualSpacing w:val="0"/>
              <w:jc w:val="both"/>
            </w:pP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b w:val="1"/>
                <w:i w:val="0"/>
                <w:sz w:val="18"/>
                <w:szCs w:val="18"/>
                <w:vertAlign w:val="baseline"/>
                <w:rtl w:val="0"/>
              </w:rPr>
              <w:t xml:space="preserve">Oficina de Prensa</w:t>
            </w:r>
            <w:r w:rsidDel="00000000" w:rsidR="00000000" w:rsidRPr="00000000">
              <w:rPr>
                <w:rtl w:val="0"/>
              </w:rPr>
            </w:r>
          </w:p>
        </w:tc>
        <w:tc>
          <w:tcPr/>
          <w:p w:rsidR="00000000" w:rsidDel="00000000" w:rsidP="00000000" w:rsidRDefault="00000000" w:rsidRPr="00000000">
            <w:pPr>
              <w:ind w:left="284" w:right="567" w:firstLine="0"/>
              <w:contextualSpacing w:val="0"/>
              <w:jc w:val="both"/>
            </w:pPr>
            <w:r w:rsidDel="00000000" w:rsidR="00000000" w:rsidRPr="00000000">
              <w:rPr>
                <w:rtl w:val="0"/>
              </w:rPr>
            </w:r>
          </w:p>
        </w:tc>
      </w:tr>
    </w:tbl>
    <w:p w:rsidR="00000000" w:rsidDel="00000000" w:rsidP="00000000" w:rsidRDefault="00000000" w:rsidRPr="00000000">
      <w:pPr>
        <w:ind w:right="51"/>
        <w:contextualSpacing w:val="0"/>
        <w:jc w:val="both"/>
      </w:pPr>
      <w:r w:rsidDel="00000000" w:rsidR="00000000" w:rsidRPr="00000000">
        <w:rPr>
          <w:rtl w:val="0"/>
        </w:rPr>
      </w:r>
    </w:p>
    <w:sectPr>
      <w:headerReference r:id="rId5" w:type="default"/>
      <w:headerReference r:id="rId6" w:type="first"/>
      <w:pgSz w:h="15842" w:w="12242"/>
      <w:pgMar w:bottom="1418" w:top="1418" w:left="1701" w:right="141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1"/>
      <w:spacing w:after="0" w:before="709" w:line="240" w:lineRule="auto"/>
      <w:contextualSpacing w:val="0"/>
      <w:jc w:val="right"/>
    </w:pPr>
    <w:r w:rsidDel="00000000" w:rsidR="00000000" w:rsidRPr="00000000">
      <w:rPr>
        <w:rFonts w:ascii="Arial" w:cs="Arial" w:eastAsia="Arial" w:hAnsi="Arial"/>
        <w:b w:val="1"/>
        <w:i w:val="0"/>
        <w:sz w:val="18"/>
        <w:szCs w:val="18"/>
        <w:vertAlign w:val="baseline"/>
        <w:rtl w:val="0"/>
      </w:rPr>
      <w:t xml:space="preserve">Instituto Tecnológico de Costa Rica</w:t>
    </w:r>
  </w:p>
  <w:p w:rsidR="00000000" w:rsidDel="00000000" w:rsidP="00000000" w:rsidRDefault="00000000" w:rsidRPr="00000000">
    <w:pPr>
      <w:tabs>
        <w:tab w:val="left" w:pos="5954"/>
      </w:tabs>
      <w:contextualSpacing w:val="0"/>
      <w:jc w:val="right"/>
    </w:pPr>
    <w:r w:rsidDel="00000000" w:rsidR="00000000" w:rsidRPr="00000000">
      <w:rPr>
        <w:b w:val="1"/>
        <w:i w:val="1"/>
        <w:sz w:val="18"/>
        <w:szCs w:val="18"/>
        <w:vertAlign w:val="baseline"/>
        <w:rtl w:val="0"/>
      </w:rPr>
      <w:t xml:space="preserve">Secretaría Consejo Institucional</w:t>
    </w:r>
    <w:r w:rsidDel="00000000" w:rsidR="00000000" w:rsidRPr="00000000">
      <w:rPr>
        <w:rtl w:val="0"/>
      </w:rPr>
    </w:r>
  </w:p>
  <w:p w:rsidR="00000000" w:rsidDel="00000000" w:rsidP="00000000" w:rsidRDefault="00000000" w:rsidRPr="00000000">
    <w:pPr>
      <w:tabs>
        <w:tab w:val="left" w:pos="5954"/>
      </w:tabs>
      <w:contextualSpacing w:val="0"/>
      <w:jc w:val="right"/>
    </w:pPr>
    <w:r w:rsidDel="00000000" w:rsidR="00000000" w:rsidRPr="00000000">
      <w:rPr>
        <w:b w:val="1"/>
        <w:i w:val="1"/>
        <w:sz w:val="18"/>
        <w:szCs w:val="18"/>
        <w:vertAlign w:val="baseline"/>
        <w:rtl w:val="0"/>
      </w:rPr>
      <w:t xml:space="preserve">Ext. 2716-2239</w:t>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ind w:right="-374"/>
      <w:contextualSpacing w:val="0"/>
    </w:pPr>
    <w:r w:rsidDel="00000000" w:rsidR="00000000" w:rsidRPr="00000000">
      <w:drawing>
        <wp:inline distB="0" distT="0" distL="114300" distR="114300">
          <wp:extent cx="5605145" cy="152400"/>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5605145" cy="15240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1"/>
      <w:spacing w:after="0" w:before="709" w:line="240" w:lineRule="auto"/>
      <w:contextualSpacing w:val="0"/>
      <w:jc w:val="right"/>
    </w:pPr>
    <w:r w:rsidDel="00000000" w:rsidR="00000000" w:rsidRPr="00000000">
      <w:rPr>
        <w:rFonts w:ascii="Arial" w:cs="Arial" w:eastAsia="Arial" w:hAnsi="Arial"/>
        <w:b w:val="1"/>
        <w:i w:val="0"/>
        <w:sz w:val="18"/>
        <w:szCs w:val="18"/>
        <w:vertAlign w:val="baseline"/>
        <w:rtl w:val="0"/>
      </w:rPr>
      <w:t xml:space="preserve">Instituto Tecnológico de Costa Rica</w:t>
    </w:r>
  </w:p>
  <w:p w:rsidR="00000000" w:rsidDel="00000000" w:rsidP="00000000" w:rsidRDefault="00000000" w:rsidRPr="00000000">
    <w:pPr>
      <w:tabs>
        <w:tab w:val="left" w:pos="5954"/>
      </w:tabs>
      <w:contextualSpacing w:val="0"/>
      <w:jc w:val="right"/>
    </w:pPr>
    <w:r w:rsidDel="00000000" w:rsidR="00000000" w:rsidRPr="00000000">
      <w:rPr>
        <w:b w:val="1"/>
        <w:i w:val="1"/>
        <w:sz w:val="18"/>
        <w:szCs w:val="18"/>
        <w:vertAlign w:val="baseline"/>
        <w:rtl w:val="0"/>
      </w:rPr>
      <w:t xml:space="preserve">Secretaría Consejo Institucional</w:t>
    </w:r>
    <w:r w:rsidDel="00000000" w:rsidR="00000000" w:rsidRPr="00000000">
      <w:rPr>
        <w:rtl w:val="0"/>
      </w:rPr>
    </w:r>
  </w:p>
  <w:p w:rsidR="00000000" w:rsidDel="00000000" w:rsidP="00000000" w:rsidRDefault="00000000" w:rsidRPr="00000000">
    <w:pPr>
      <w:tabs>
        <w:tab w:val="left" w:pos="5954"/>
      </w:tabs>
      <w:contextualSpacing w:val="0"/>
      <w:jc w:val="right"/>
    </w:pPr>
    <w:r w:rsidDel="00000000" w:rsidR="00000000" w:rsidRPr="00000000">
      <w:rPr>
        <w:b w:val="1"/>
        <w:i w:val="1"/>
        <w:sz w:val="18"/>
        <w:szCs w:val="18"/>
        <w:vertAlign w:val="baseline"/>
        <w:rtl w:val="0"/>
      </w:rPr>
      <w:t xml:space="preserve">Ext. 2716-2239</w:t>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ind w:right="-374"/>
      <w:contextualSpacing w:val="0"/>
    </w:pPr>
    <w:r w:rsidDel="00000000" w:rsidR="00000000" w:rsidRPr="00000000">
      <w:drawing>
        <wp:inline distB="0" distT="0" distL="114300" distR="114300">
          <wp:extent cx="5605145" cy="152400"/>
          <wp:effectExtent b="0" l="0" r="0" t="0"/>
          <wp:docPr id="2" name="image02.png"/>
          <a:graphic>
            <a:graphicData uri="http://schemas.openxmlformats.org/drawingml/2006/picture">
              <pic:pic>
                <pic:nvPicPr>
                  <pic:cNvPr id="0" name="image02.png"/>
                  <pic:cNvPicPr preferRelativeResize="0"/>
                </pic:nvPicPr>
                <pic:blipFill>
                  <a:blip r:embed="rId1"/>
                  <a:srcRect b="0" l="0" r="0" t="0"/>
                  <a:stretch>
                    <a:fillRect/>
                  </a:stretch>
                </pic:blipFill>
                <pic:spPr>
                  <a:xfrm>
                    <a:off x="0" y="0"/>
                    <a:ext cx="5605145" cy="15240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360" w:firstLine="0"/>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decimal"/>
      <w:lvlText w:val="%1."/>
      <w:lvlJc w:val="left"/>
      <w:pPr>
        <w:ind w:left="360" w:firstLine="0"/>
      </w:pPr>
      <w:rPr>
        <w:rFonts w:ascii="Arial" w:cs="Arial" w:eastAsia="Arial" w:hAnsi="Arial"/>
        <w:b w:val="1"/>
        <w:i w:val="0"/>
        <w:sz w:val="22"/>
        <w:szCs w:val="22"/>
        <w:vertAlign w:val="baseline"/>
      </w:rPr>
    </w:lvl>
    <w:lvl w:ilvl="1">
      <w:start w:val="1"/>
      <w:numFmt w:val="lowerLetter"/>
      <w:lvlText w:val="%2."/>
      <w:lvlJc w:val="left"/>
      <w:pPr>
        <w:ind w:left="-349" w:hanging="709"/>
      </w:pPr>
      <w:rPr>
        <w:vertAlign w:val="baseline"/>
      </w:rPr>
    </w:lvl>
    <w:lvl w:ilvl="2">
      <w:start w:val="1"/>
      <w:numFmt w:val="lowerRoman"/>
      <w:lvlText w:val="%3."/>
      <w:lvlJc w:val="right"/>
      <w:pPr>
        <w:ind w:left="371" w:firstLine="191"/>
      </w:pPr>
      <w:rPr>
        <w:vertAlign w:val="baseline"/>
      </w:rPr>
    </w:lvl>
    <w:lvl w:ilvl="3">
      <w:start w:val="1"/>
      <w:numFmt w:val="decimal"/>
      <w:lvlText w:val="%4."/>
      <w:lvlJc w:val="left"/>
      <w:pPr>
        <w:ind w:left="1091" w:firstLine="731"/>
      </w:pPr>
      <w:rPr>
        <w:vertAlign w:val="baseline"/>
      </w:rPr>
    </w:lvl>
    <w:lvl w:ilvl="4">
      <w:start w:val="1"/>
      <w:numFmt w:val="lowerLetter"/>
      <w:lvlText w:val="%5."/>
      <w:lvlJc w:val="left"/>
      <w:pPr>
        <w:ind w:left="1811" w:firstLine="1451"/>
      </w:pPr>
      <w:rPr>
        <w:vertAlign w:val="baseline"/>
      </w:rPr>
    </w:lvl>
    <w:lvl w:ilvl="5">
      <w:start w:val="1"/>
      <w:numFmt w:val="lowerRoman"/>
      <w:lvlText w:val="%6."/>
      <w:lvlJc w:val="right"/>
      <w:pPr>
        <w:ind w:left="2531" w:firstLine="2351"/>
      </w:pPr>
      <w:rPr>
        <w:vertAlign w:val="baseline"/>
      </w:rPr>
    </w:lvl>
    <w:lvl w:ilvl="6">
      <w:start w:val="1"/>
      <w:numFmt w:val="decimal"/>
      <w:lvlText w:val="%7."/>
      <w:lvlJc w:val="left"/>
      <w:pPr>
        <w:ind w:left="3251" w:firstLine="2891"/>
      </w:pPr>
      <w:rPr>
        <w:vertAlign w:val="baseline"/>
      </w:rPr>
    </w:lvl>
    <w:lvl w:ilvl="7">
      <w:start w:val="1"/>
      <w:numFmt w:val="lowerLetter"/>
      <w:lvlText w:val="%8."/>
      <w:lvlJc w:val="left"/>
      <w:pPr>
        <w:ind w:left="3971" w:firstLine="3611"/>
      </w:pPr>
      <w:rPr>
        <w:vertAlign w:val="baseline"/>
      </w:rPr>
    </w:lvl>
    <w:lvl w:ilvl="8">
      <w:start w:val="1"/>
      <w:numFmt w:val="lowerRoman"/>
      <w:lvlText w:val="%9."/>
      <w:lvlJc w:val="right"/>
      <w:pPr>
        <w:ind w:left="4691" w:firstLine="4511"/>
      </w:pPr>
      <w:rPr>
        <w:vertAlign w:val="baseline"/>
      </w:rPr>
    </w:lvl>
  </w:abstractNum>
  <w:abstractNum w:abstractNumId="3">
    <w:lvl w:ilvl="0">
      <w:start w:val="1"/>
      <w:numFmt w:val="decimal"/>
      <w:lvlText w:val="%1."/>
      <w:lvlJc w:val="left"/>
      <w:pPr>
        <w:ind w:left="360" w:firstLine="0"/>
      </w:pPr>
      <w:rPr>
        <w:rFonts w:ascii="Arial" w:cs="Arial" w:eastAsia="Arial" w:hAnsi="Arial"/>
        <w:b w:val="1"/>
        <w:i w:val="0"/>
        <w:sz w:val="22"/>
        <w:szCs w:val="22"/>
        <w:vertAlign w:val="baseline"/>
      </w:rPr>
    </w:lvl>
    <w:lvl w:ilvl="1">
      <w:start w:val="1"/>
      <w:numFmt w:val="lowerLetter"/>
      <w:lvlText w:val="%2."/>
      <w:lvlJc w:val="left"/>
      <w:pPr>
        <w:ind w:left="-349" w:hanging="709"/>
      </w:pPr>
      <w:rPr>
        <w:vertAlign w:val="baseline"/>
      </w:rPr>
    </w:lvl>
    <w:lvl w:ilvl="2">
      <w:start w:val="1"/>
      <w:numFmt w:val="lowerRoman"/>
      <w:lvlText w:val="%3."/>
      <w:lvlJc w:val="right"/>
      <w:pPr>
        <w:ind w:left="371" w:firstLine="191"/>
      </w:pPr>
      <w:rPr>
        <w:vertAlign w:val="baseline"/>
      </w:rPr>
    </w:lvl>
    <w:lvl w:ilvl="3">
      <w:start w:val="1"/>
      <w:numFmt w:val="decimal"/>
      <w:lvlText w:val="%4."/>
      <w:lvlJc w:val="left"/>
      <w:pPr>
        <w:ind w:left="1091" w:firstLine="731"/>
      </w:pPr>
      <w:rPr>
        <w:vertAlign w:val="baseline"/>
      </w:rPr>
    </w:lvl>
    <w:lvl w:ilvl="4">
      <w:start w:val="1"/>
      <w:numFmt w:val="lowerLetter"/>
      <w:lvlText w:val="%5."/>
      <w:lvlJc w:val="left"/>
      <w:pPr>
        <w:ind w:left="1811" w:firstLine="1451"/>
      </w:pPr>
      <w:rPr>
        <w:vertAlign w:val="baseline"/>
      </w:rPr>
    </w:lvl>
    <w:lvl w:ilvl="5">
      <w:start w:val="1"/>
      <w:numFmt w:val="lowerRoman"/>
      <w:lvlText w:val="%6."/>
      <w:lvlJc w:val="right"/>
      <w:pPr>
        <w:ind w:left="2531" w:firstLine="2351"/>
      </w:pPr>
      <w:rPr>
        <w:vertAlign w:val="baseline"/>
      </w:rPr>
    </w:lvl>
    <w:lvl w:ilvl="6">
      <w:start w:val="1"/>
      <w:numFmt w:val="decimal"/>
      <w:lvlText w:val="%7."/>
      <w:lvlJc w:val="left"/>
      <w:pPr>
        <w:ind w:left="3251" w:firstLine="2891"/>
      </w:pPr>
      <w:rPr>
        <w:vertAlign w:val="baseline"/>
      </w:rPr>
    </w:lvl>
    <w:lvl w:ilvl="7">
      <w:start w:val="1"/>
      <w:numFmt w:val="lowerLetter"/>
      <w:lvlText w:val="%8."/>
      <w:lvlJc w:val="left"/>
      <w:pPr>
        <w:ind w:left="3971" w:firstLine="3611"/>
      </w:pPr>
      <w:rPr>
        <w:vertAlign w:val="baseline"/>
      </w:rPr>
    </w:lvl>
    <w:lvl w:ilvl="8">
      <w:start w:val="1"/>
      <w:numFmt w:val="lowerRoman"/>
      <w:lvlText w:val="%9."/>
      <w:lvlJc w:val="right"/>
      <w:pPr>
        <w:ind w:left="4691" w:firstLine="4511"/>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1"/>
        <w:smallCaps w:val="0"/>
        <w:strike w:val="0"/>
        <w:color w:val="000000"/>
        <w:sz w:val="16"/>
        <w:szCs w:val="16"/>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

<file path=word/_rels/header2.xml.rels><?xml version="1.0" encoding="UTF-8" standalone="yes"?><Relationships xmlns="http://schemas.openxmlformats.org/package/2006/relationships"><Relationship Id="rId1" Type="http://schemas.openxmlformats.org/officeDocument/2006/relationships/image" Target="media/image02.png"/></Relationships>
</file>