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346"/>
        </w:tabs>
        <w:ind w:right="51"/>
        <w:contextualSpacing w:val="0"/>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b w:val="1"/>
          <w:i w:val="0"/>
          <w:sz w:val="24"/>
          <w:szCs w:val="24"/>
          <w:vertAlign w:val="baseline"/>
          <w:rtl w:val="0"/>
        </w:rPr>
        <w:t xml:space="preserve">COMUNICACIÓN DE ACUERDO </w:t>
      </w: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4"/>
          <w:szCs w:val="24"/>
          <w:vertAlign w:val="baseline"/>
          <w:rtl w:val="0"/>
        </w:rPr>
        <w:t xml:space="preserve">SCI-444-2009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4"/>
          <w:szCs w:val="24"/>
          <w:vertAlign w:val="baseline"/>
          <w:rtl w:val="0"/>
        </w:rPr>
        <w:t xml:space="preserve">02 de julio del 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9190.0" w:type="dxa"/>
        <w:jc w:val="left"/>
        <w:tblInd w:w="-70.0" w:type="dxa"/>
        <w:tblLayout w:type="fixed"/>
        <w:tblLook w:val="0000"/>
      </w:tblPr>
      <w:tblGrid>
        <w:gridCol w:w="1346"/>
        <w:gridCol w:w="7844"/>
        <w:tblGridChange w:id="0">
          <w:tblGrid>
            <w:gridCol w:w="1346"/>
            <w:gridCol w:w="7844"/>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w:t>
            </w:r>
            <w:r w:rsidDel="00000000" w:rsidR="00000000" w:rsidRPr="00000000">
              <w:rPr>
                <w:b w:val="1"/>
                <w:i w:val="0"/>
                <w:sz w:val="24"/>
                <w:szCs w:val="24"/>
                <w:vertAlign w:val="baseline"/>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Dr. Dagoberto Arias Aguilar, Rector a.i</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Ing. José Alberto Díaz García, Presidente, Directorio de la AIR</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 Nancy Hidalgo Dittel,</w:t>
            </w:r>
            <w:r w:rsidDel="00000000" w:rsidR="00000000" w:rsidRPr="00000000">
              <w:rPr>
                <w:i w:val="0"/>
                <w:sz w:val="24"/>
                <w:szCs w:val="24"/>
                <w:vertAlign w:val="baseline"/>
                <w:rtl w:val="0"/>
              </w:rPr>
              <w:t xml:space="preserve"> </w:t>
            </w:r>
            <w:r w:rsidDel="00000000" w:rsidR="00000000" w:rsidRPr="00000000">
              <w:rPr>
                <w:i w:val="0"/>
                <w:sz w:val="20"/>
                <w:szCs w:val="20"/>
                <w:vertAlign w:val="baseline"/>
                <w:rtl w:val="0"/>
              </w:rPr>
              <w:t xml:space="preserve">Representante Docente ante el Consejo Institucional</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Licda. Bertalía Sánchez, Directora Ejecutiva </w:t>
            </w:r>
            <w:r w:rsidDel="00000000" w:rsidR="00000000" w:rsidRPr="00000000">
              <w:rPr>
                <w:rtl w:val="0"/>
              </w:rPr>
            </w:r>
          </w:p>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Secretaría del Consejo Institucional</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rtl w:val="0"/>
              </w:rPr>
            </w:r>
          </w:p>
        </w:tc>
      </w:tr>
      <w:tr>
        <w:tc>
          <w:tcPr/>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Sesión Ordinaria No. 2616, Artículo 11, del 2 de julio del 2009. “Nombramiento de un representante del Consejo Institucional que  Integrará la  Comisión de Análisis para la Reforma al Artículo 8, inciso c del Estatuto Orgánico y la inclusión del inciso r al artículo 11 del mismo “Proyecto “Disposiciones Disciplinarias aplicables al Rector y a los miembros del Consejo Institucional”</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CONSIDERANDO QUE: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i w:val="0"/>
          <w:sz w:val="24"/>
          <w:szCs w:val="24"/>
          <w:vertAlign w:val="baseline"/>
          <w:rtl w:val="0"/>
        </w:rPr>
        <w:t xml:space="preserve">La Secretaría del Consejo Institucional, con fecha 20 de abril del 2009, recibió el memorando DAR-60-2009, </w:t>
      </w:r>
      <w:r w:rsidDel="00000000" w:rsidR="00000000" w:rsidRPr="00000000">
        <w:rPr>
          <w:i w:val="0"/>
          <w:color w:val="000000"/>
          <w:sz w:val="24"/>
          <w:szCs w:val="24"/>
          <w:vertAlign w:val="baseline"/>
          <w:rtl w:val="0"/>
        </w:rPr>
        <w:t xml:space="preserve">con fecha 20 de abril del 2009, suscrito por el Ing. José Alberto Díaz García, Presidente, Directorio de la AIR, dirigido al Ing. Carlos Badilla Corrales, Comisión Permanente de Estatuto Orgánico, en el cual remite el acuerdo tomado por el Directorio de la Asamblea Institucional Representativa, en la Sesión Ordinaria Nº 009-09, Artículo Nº 5, realizada el 15 de abril del 2009, sobre la Integración de la Comisión de Análisis para la Reforma al Artículo 8, inciso c del Estatuto Orgánico y la inclusión del inciso r, al artículo 11 del mismo Estatuto; asimismo, solicitan</w:t>
      </w:r>
      <w:r w:rsidDel="00000000" w:rsidR="00000000" w:rsidRPr="00000000">
        <w:rPr>
          <w:i w:val="0"/>
          <w:sz w:val="24"/>
          <w:szCs w:val="24"/>
          <w:vertAlign w:val="baseline"/>
          <w:rtl w:val="0"/>
        </w:rPr>
        <w:t xml:space="preserve"> el nombramiento de un representante del Consejo Institucional, para que participe e integre la Comisión.  Solicitan además, informar al Directorio de la AIR el nombre de su representante, a más tardar el jueves 30 de abril del año en curso.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i w:val="0"/>
          <w:sz w:val="24"/>
          <w:szCs w:val="24"/>
          <w:vertAlign w:val="baseline"/>
          <w:rtl w:val="0"/>
        </w:rPr>
        <w:t xml:space="preserve">En cumplimiento  del acuerdo supra citado, la Presidencia del Consejo Institucional, presentó la propuesta  en la Sesión Ordinaria No. 2605, celebrada el  30 de abril del 2009; no obstante, en virtud de que se aproximaba un cambio importante en la conformación del Consejo Institucional, se dispuso postergar la designación hasta contar con los nombramientos de las nuevas personas.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i w:val="0"/>
          <w:sz w:val="24"/>
          <w:szCs w:val="24"/>
          <w:vertAlign w:val="baseline"/>
          <w:rtl w:val="0"/>
        </w:rPr>
        <w:t xml:space="preserve">El Tribunal Institucional electoral, con fecha 24 de junio del 2009, declaró oficial mente la elección de los señores: MSc. Nancy Hidalgo Dittel, BQ. Grettel Castro Portuguez y al MSc. Jorge Chaves  Arce, como  miembros  docentes  de  la  Sede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18"/>
          <w:szCs w:val="18"/>
          <w:vertAlign w:val="baseline"/>
          <w:rtl w:val="0"/>
        </w:rPr>
        <w:t xml:space="preserve">COMUNICADO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18"/>
          <w:szCs w:val="18"/>
          <w:vertAlign w:val="baseline"/>
          <w:rtl w:val="0"/>
        </w:rPr>
        <w:t xml:space="preserve">Sesión Ordinaria No. 2616, Artículo 11, del 2 de julio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0"/>
          <w:sz w:val="18"/>
          <w:szCs w:val="18"/>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i w:val="0"/>
          <w:sz w:val="24"/>
          <w:szCs w:val="24"/>
          <w:vertAlign w:val="baseline"/>
          <w:rtl w:val="0"/>
        </w:rPr>
        <w:t xml:space="preserve">Central ante el Consejo Institucional, para el periodo comprendido del 1 de julio del 2009 al 30 de junio del 2013.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SE 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sz w:val="24"/>
          <w:szCs w:val="24"/>
        </w:rPr>
      </w:pPr>
      <w:r w:rsidDel="00000000" w:rsidR="00000000" w:rsidRPr="00000000">
        <w:rPr>
          <w:i w:val="0"/>
          <w:sz w:val="24"/>
          <w:szCs w:val="24"/>
          <w:vertAlign w:val="baseline"/>
          <w:rtl w:val="0"/>
        </w:rPr>
        <w:t xml:space="preserve">Designar a la </w:t>
      </w:r>
      <w:r w:rsidDel="00000000" w:rsidR="00000000" w:rsidRPr="00000000">
        <w:rPr>
          <w:b w:val="1"/>
          <w:i w:val="0"/>
          <w:sz w:val="24"/>
          <w:szCs w:val="24"/>
          <w:vertAlign w:val="baseline"/>
          <w:rtl w:val="0"/>
        </w:rPr>
        <w:t xml:space="preserve">MSc.</w:t>
      </w:r>
      <w:r w:rsidDel="00000000" w:rsidR="00000000" w:rsidRPr="00000000">
        <w:rPr>
          <w:i w:val="0"/>
          <w:sz w:val="24"/>
          <w:szCs w:val="24"/>
          <w:vertAlign w:val="baseline"/>
          <w:rtl w:val="0"/>
        </w:rPr>
        <w:t xml:space="preserve"> </w:t>
      </w:r>
      <w:r w:rsidDel="00000000" w:rsidR="00000000" w:rsidRPr="00000000">
        <w:rPr>
          <w:b w:val="1"/>
          <w:i w:val="0"/>
          <w:sz w:val="24"/>
          <w:szCs w:val="24"/>
          <w:vertAlign w:val="baseline"/>
          <w:rtl w:val="0"/>
        </w:rPr>
        <w:t xml:space="preserve">Nancy Hidalgo Dittel</w:t>
      </w:r>
      <w:r w:rsidDel="00000000" w:rsidR="00000000" w:rsidRPr="00000000">
        <w:rPr>
          <w:i w:val="0"/>
          <w:sz w:val="24"/>
          <w:szCs w:val="24"/>
          <w:vertAlign w:val="baseline"/>
          <w:rtl w:val="0"/>
        </w:rPr>
        <w:t xml:space="preserve">, como representante del Consejo Institucional, ante la Comisión de Análisis Proyecto de </w:t>
      </w:r>
      <w:r w:rsidDel="00000000" w:rsidR="00000000" w:rsidRPr="00000000">
        <w:rPr>
          <w:i w:val="0"/>
          <w:color w:val="000000"/>
          <w:sz w:val="24"/>
          <w:szCs w:val="24"/>
          <w:vertAlign w:val="baseline"/>
          <w:rtl w:val="0"/>
        </w:rPr>
        <w:t xml:space="preserve">Reforma al Artículo 8, inciso c del Estatuto Orgánico y la inclusión del inciso r, al Artículo 11, </w:t>
      </w:r>
      <w:r w:rsidDel="00000000" w:rsidR="00000000" w:rsidRPr="00000000">
        <w:rPr>
          <w:i w:val="0"/>
          <w:sz w:val="24"/>
          <w:szCs w:val="24"/>
          <w:vertAlign w:val="baseline"/>
          <w:rtl w:val="0"/>
        </w:rPr>
        <w:t xml:space="preserve">“Disposiciones Disciplinarias Aplicables al Rector y a los miembros del Consejo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sz w:val="24"/>
          <w:szCs w:val="24"/>
        </w:rPr>
      </w:pPr>
      <w:r w:rsidDel="00000000" w:rsidR="00000000" w:rsidRPr="00000000">
        <w:rPr>
          <w:i w:val="0"/>
          <w:sz w:val="24"/>
          <w:szCs w:val="24"/>
          <w:vertAlign w:val="baseline"/>
          <w:rtl w:val="0"/>
        </w:rPr>
        <w:t xml:space="preserve">Comunicar. </w:t>
      </w:r>
      <w:r w:rsidDel="00000000" w:rsidR="00000000" w:rsidRPr="00000000">
        <w:rPr>
          <w:b w:val="1"/>
          <w:i w:val="0"/>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BSS/apmc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20"/>
                <w:szCs w:val="20"/>
                <w:vertAlign w:val="baseline"/>
                <w:rtl w:val="0"/>
              </w:rPr>
              <w:t xml:space="preserve">ci.  Secretaría del Consejo Institucional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Centro de Archivo y Comunicaciones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Oficina de Prensa (Publicar)</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VIE</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sectPr>
      <w:headerReference r:id="rId5" w:type="default"/>
      <w:headerReference r:id="rId6" w:type="first"/>
      <w:pgSz w:h="15842" w:w="12242"/>
      <w:pgMar w:bottom="1418" w:top="1418" w:left="1701"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widowControl w:val="0"/>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60" w:firstLine="0"/>
      </w:pPr>
      <w:rPr>
        <w:rFonts w:ascii="Arial" w:cs="Arial" w:eastAsia="Arial" w:hAnsi="Arial"/>
        <w:b w:val="1"/>
        <w:i w:val="0"/>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