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SCI-555-2009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20 de agosto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12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b w:val="1"/>
                <w:i w:val="0"/>
                <w:sz w:val="24"/>
                <w:szCs w:val="24"/>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Giannina Ortiz, Vicerrectora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Licda. Ligia Rivas Rossi, Vicerrectora de Vida Estudiantil y Servicios Académicos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Licda. Rocío Abarca, Encargada del Programa de Inglés, Escuela de Ciencias del Lenguaje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Sr. Cristhian Solís R., Presidente FEITEC</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left="24" w:hanging="24"/>
              <w:contextualSpacing w:val="0"/>
              <w:jc w:val="both"/>
            </w:pPr>
            <w:r w:rsidDel="00000000" w:rsidR="00000000" w:rsidRPr="00000000">
              <w:rPr>
                <w:b w:val="1"/>
                <w:i w:val="0"/>
                <w:sz w:val="20"/>
                <w:szCs w:val="20"/>
                <w:vertAlign w:val="baseline"/>
                <w:rtl w:val="0"/>
              </w:rPr>
              <w:t xml:space="preserve">Sesión Ordinaria No. 2623, Artículo 11, del 20 de agosto del 2009. Modificación de Lineamiento 4 del Desarrollo del Programa de Inglés para estudiantes, personal docente y administrativo del Instituto Tecnológico de Costa Rica.</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Consejo Institucional en la Sesión Ordinaria No. 2548, Artículo 13, del 06 de marzo del 2008, aprobó los </w:t>
      </w:r>
      <w:r w:rsidDel="00000000" w:rsidR="00000000" w:rsidRPr="00000000">
        <w:rPr>
          <w:rFonts w:ascii="Arial" w:cs="Arial" w:eastAsia="Arial" w:hAnsi="Arial"/>
          <w:b w:val="0"/>
          <w:i w:val="0"/>
          <w:color w:val="000000"/>
          <w:sz w:val="24"/>
          <w:szCs w:val="24"/>
          <w:vertAlign w:val="baseline"/>
          <w:rtl w:val="0"/>
        </w:rPr>
        <w:t xml:space="preserve">Lineamientos para el Desarrollo del Programa de Inglés para estudiantes, personal docente y administrativo del Instituto Tecnológico de Costa Rica.</w:t>
      </w:r>
      <w:r w:rsidDel="00000000" w:rsidR="00000000" w:rsidRPr="00000000">
        <w:rPr>
          <w:rtl w:val="0"/>
        </w:rPr>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Consejo Institucional en la Sesión Ordinaria No. 2571, Artículo 11, del 14 de agosto de 2008, modificó el Lineamiento 4, relativo a los aspectos operativos, en el apartado de las actividades por realizar.</w:t>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Se han recibido en las oficinas de la FEITEC quejas por parte de los estudiantes que han estado matriculados en este programa de desarrollo desde su inicio, y ahora debido a la modificación realizada por el Consejo Institucional, no pueden recurrir a solicitar financiamiento a la VIESA a través del Fondo de Becas según consta en el oficio VIESA-610-09.</w:t>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La Asesoría Legal en su oficio AL-310-09, hace hincapié en que los lineamientos del Consejo Institucional son de acatamiento obligatorio, y solo el órgano que los originó puede modificarlos o inclusive eliminarlos. </w:t>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tabs>
          <w:tab w:val="left" w:pos="600"/>
        </w:tabs>
        <w:spacing w:after="0" w:before="0" w:line="240" w:lineRule="auto"/>
        <w:ind w:left="600" w:right="44" w:firstLine="0"/>
        <w:contextualSpacing w:val="0"/>
        <w:jc w:val="both"/>
      </w:pPr>
      <w:r w:rsidDel="00000000" w:rsidR="00000000" w:rsidRPr="00000000">
        <w:rPr>
          <w:rtl w:val="0"/>
        </w:rPr>
      </w:r>
    </w:p>
    <w:p w:rsidR="00000000" w:rsidDel="00000000" w:rsidP="00000000" w:rsidRDefault="00000000" w:rsidRPr="00000000">
      <w:pPr>
        <w:tabs>
          <w:tab w:val="left" w:pos="600"/>
        </w:tabs>
        <w:spacing w:after="0" w:before="0" w:line="240" w:lineRule="auto"/>
        <w:ind w:left="600" w:right="44" w:firstLine="0"/>
        <w:contextualSpacing w:val="0"/>
        <w:jc w:val="both"/>
      </w:pPr>
      <w:r w:rsidDel="00000000" w:rsidR="00000000" w:rsidRPr="00000000">
        <w:rPr>
          <w:rtl w:val="0"/>
        </w:rPr>
      </w:r>
    </w:p>
    <w:p w:rsidR="00000000" w:rsidDel="00000000" w:rsidP="00000000" w:rsidRDefault="00000000" w:rsidRPr="00000000">
      <w:pPr>
        <w:tabs>
          <w:tab w:val="left" w:pos="600"/>
        </w:tabs>
        <w:spacing w:after="0" w:before="0" w:line="240" w:lineRule="auto"/>
        <w:ind w:left="600" w:right="44"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2623, Artículo 11, del 20 de agosto del 2009</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La Asesoría Legal, en su oficio AL-310-09, manifiesta que no sería procedente negarle la oportunidad de matricular el curso a un estudiante que no cumpla con los requisitos, pero que en ese caso el mismo deberá cubrir económicamente los gastos del Programa.</w:t>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sector estudiantil en la mayoría de las veces no tiene la facilidad de hacerle frente a los costos del programa con el fin de darle continuidad al Programa de Capacitación en un segundo idioma. </w:t>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idioma inglés, sin duda, se ha vuelto una necesidad en el mundo actual, siendo este el principal idioma del habla universal. </w:t>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Instituto Tecnológico de Costa Rica, como universidad pública, está llamada primordialmente a la formación de profesionales que logren destacar en el ámbito nacional e internacional. </w:t>
      </w:r>
    </w:p>
    <w:p w:rsidR="00000000" w:rsidDel="00000000" w:rsidP="00000000" w:rsidRDefault="00000000" w:rsidRPr="00000000">
      <w:pPr>
        <w:tabs>
          <w:tab w:val="left" w:pos="600"/>
        </w:tabs>
        <w:spacing w:after="0" w:before="0" w:line="240" w:lineRule="auto"/>
        <w:ind w:left="0" w:right="44"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600"/>
        </w:tabs>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La matrícula para dichos programas se realizó la semana del 17 al 21 de agosto del 2009, con el fin de empezar las clases la semana del 24 al 28 de agosto de 2009.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0"/>
          <w:color w:val="000000"/>
          <w:sz w:val="24"/>
          <w:szCs w:val="24"/>
        </w:rPr>
      </w:pPr>
      <w:r w:rsidDel="00000000" w:rsidR="00000000" w:rsidRPr="00000000">
        <w:rPr>
          <w:i w:val="0"/>
          <w:color w:val="000000"/>
          <w:sz w:val="24"/>
          <w:szCs w:val="24"/>
          <w:vertAlign w:val="baseline"/>
          <w:rtl w:val="0"/>
        </w:rPr>
        <w:t xml:space="preserve">Reformar el Lineamiento 4, de los Lineamientos para el Desarrollo del Programa de Inglés para estudiantes, específicamente en lo que corresponde al punto 2 de las actividades por realizar para que diga: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600" w:hanging="120"/>
        <w:contextualSpacing w:val="0"/>
        <w:jc w:val="both"/>
      </w:pPr>
      <w:r w:rsidDel="00000000" w:rsidR="00000000" w:rsidRPr="00000000">
        <w:rPr>
          <w:i w:val="1"/>
          <w:sz w:val="22"/>
          <w:szCs w:val="22"/>
          <w:vertAlign w:val="baseline"/>
          <w:rtl w:val="0"/>
        </w:rPr>
        <w:t xml:space="preserve">“El estudiantado no tendrá que pagar los cursos  pues serán financiados mediante los Fondos del Sistema (CONARE).  Para ello deberán cumplir los siguientes requisitos:</w:t>
      </w:r>
      <w:r w:rsidDel="00000000" w:rsidR="00000000" w:rsidRPr="00000000">
        <w:rPr>
          <w:rtl w:val="0"/>
        </w:rPr>
      </w:r>
    </w:p>
    <w:p w:rsidR="00000000" w:rsidDel="00000000" w:rsidP="00000000" w:rsidRDefault="00000000" w:rsidRPr="00000000">
      <w:pPr>
        <w:ind w:left="1065" w:firstLine="0"/>
        <w:contextualSpacing w:val="0"/>
        <w:jc w:val="both"/>
      </w:pPr>
      <w:r w:rsidDel="00000000" w:rsidR="00000000" w:rsidRPr="00000000">
        <w:rPr>
          <w:rtl w:val="0"/>
        </w:rPr>
      </w:r>
    </w:p>
    <w:p w:rsidR="00000000" w:rsidDel="00000000" w:rsidP="00000000" w:rsidRDefault="00000000" w:rsidRPr="00000000">
      <w:pPr>
        <w:numPr>
          <w:ilvl w:val="0"/>
          <w:numId w:val="1"/>
        </w:numPr>
        <w:ind w:left="1200" w:hanging="360"/>
        <w:jc w:val="both"/>
        <w:rPr/>
      </w:pPr>
      <w:r w:rsidDel="00000000" w:rsidR="00000000" w:rsidRPr="00000000">
        <w:rPr>
          <w:i w:val="1"/>
          <w:sz w:val="22"/>
          <w:szCs w:val="22"/>
          <w:vertAlign w:val="baseline"/>
          <w:rtl w:val="0"/>
        </w:rPr>
        <w:t xml:space="preserve">Promedio ponderado de 70  o haber ganado al menos 10 o más créditos en el semestre inmediato anterior. </w:t>
      </w:r>
      <w:r w:rsidDel="00000000" w:rsidR="00000000" w:rsidRPr="00000000">
        <w:rPr>
          <w:rtl w:val="0"/>
        </w:rPr>
      </w:r>
    </w:p>
    <w:p w:rsidR="00000000" w:rsidDel="00000000" w:rsidP="00000000" w:rsidRDefault="00000000" w:rsidRPr="00000000">
      <w:pPr>
        <w:numPr>
          <w:ilvl w:val="0"/>
          <w:numId w:val="1"/>
        </w:numPr>
        <w:ind w:left="1200" w:hanging="360"/>
        <w:jc w:val="both"/>
        <w:rPr/>
      </w:pPr>
      <w:r w:rsidDel="00000000" w:rsidR="00000000" w:rsidRPr="00000000">
        <w:rPr>
          <w:i w:val="1"/>
          <w:sz w:val="22"/>
          <w:szCs w:val="22"/>
          <w:vertAlign w:val="baseline"/>
          <w:rtl w:val="0"/>
        </w:rPr>
        <w:t xml:space="preserve">Haber matriculado al menos diez créditos en el semestre en que matricula  el módulo </w:t>
      </w:r>
      <w:r w:rsidDel="00000000" w:rsidR="00000000" w:rsidRPr="00000000">
        <w:rPr>
          <w:rtl w:val="0"/>
        </w:rPr>
      </w:r>
    </w:p>
    <w:p w:rsidR="00000000" w:rsidDel="00000000" w:rsidP="00000000" w:rsidRDefault="00000000" w:rsidRPr="00000000">
      <w:pPr>
        <w:numPr>
          <w:ilvl w:val="0"/>
          <w:numId w:val="1"/>
        </w:numPr>
        <w:ind w:left="1200" w:hanging="360"/>
        <w:jc w:val="both"/>
        <w:rPr/>
      </w:pPr>
      <w:r w:rsidDel="00000000" w:rsidR="00000000" w:rsidRPr="00000000">
        <w:rPr>
          <w:i w:val="1"/>
          <w:sz w:val="22"/>
          <w:szCs w:val="22"/>
          <w:vertAlign w:val="baseline"/>
          <w:rtl w:val="0"/>
        </w:rPr>
        <w:t xml:space="preserve">Firmar contrato el día de la matrícula.</w:t>
      </w:r>
      <w:r w:rsidDel="00000000" w:rsidR="00000000" w:rsidRPr="00000000">
        <w:rPr>
          <w:rtl w:val="0"/>
        </w:rPr>
      </w:r>
    </w:p>
    <w:p w:rsidR="00000000" w:rsidDel="00000000" w:rsidP="00000000" w:rsidRDefault="00000000" w:rsidRPr="00000000">
      <w:pPr>
        <w:ind w:left="1065" w:firstLine="0"/>
        <w:contextualSpacing w:val="0"/>
        <w:jc w:val="both"/>
      </w:pP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i w:val="1"/>
          <w:sz w:val="22"/>
          <w:szCs w:val="22"/>
          <w:vertAlign w:val="baseline"/>
          <w:rtl w:val="0"/>
        </w:rPr>
        <w:t xml:space="preserve">En caso de que existan vacantes en los cupos de este Programa, la VIESA podrá aprobar en casos especiales la asignación del beneficio a estudiantes que no cumplan con alguno de los requisitos aquí establecidos, en forma descendente hasta un máximo de un 20% de la matrícula para ese módulo. A quienes se les otorgue este beneficio solo podrán recibirlo por una única  vez durante el Programa.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2623, Artículo 11, del 20 de agosto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tl w:val="0"/>
        </w:rPr>
      </w:r>
    </w:p>
    <w:p w:rsidR="00000000" w:rsidDel="00000000" w:rsidP="00000000" w:rsidRDefault="00000000" w:rsidRPr="00000000">
      <w:pPr>
        <w:ind w:left="1065" w:firstLine="0"/>
        <w:contextualSpacing w:val="0"/>
        <w:jc w:val="both"/>
      </w:pP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i w:val="1"/>
          <w:sz w:val="22"/>
          <w:szCs w:val="22"/>
          <w:vertAlign w:val="baseline"/>
          <w:rtl w:val="0"/>
        </w:rPr>
        <w:t xml:space="preserve">Los funcionarios deberán cumplir con los procedimientos y reglamentos del Instituto Tecnológico de Costa Rica definidos para estos efectos.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i w:val="1"/>
          <w:sz w:val="22"/>
          <w:szCs w:val="22"/>
          <w:vertAlign w:val="baseline"/>
          <w:rtl w:val="0"/>
        </w:rPr>
        <w:t xml:space="preserve">Firmar contrato el día de la matrícula”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rPr>
          <w:rFonts w:ascii="Arial" w:cs="Arial" w:eastAsia="Arial" w:hAnsi="Arial"/>
          <w:i w:val="0"/>
          <w:sz w:val="24"/>
          <w:szCs w:val="24"/>
        </w:rPr>
      </w:pPr>
      <w:r w:rsidDel="00000000" w:rsidR="00000000" w:rsidRPr="00000000">
        <w:rPr>
          <w:i w:val="0"/>
          <w:sz w:val="24"/>
          <w:szCs w:val="24"/>
          <w:vertAlign w:val="baseline"/>
          <w:rtl w:val="0"/>
        </w:rPr>
        <w:t xml:space="preserve">Comunicar.</w:t>
      </w:r>
      <w:r w:rsidDel="00000000" w:rsidR="00000000" w:rsidRPr="00000000">
        <w:rPr>
          <w:b w:val="1"/>
          <w:i w:val="0"/>
          <w:sz w:val="24"/>
          <w:szCs w:val="24"/>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 (Comunicar)</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20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36" w:firstLine="1776"/>
      </w:pPr>
      <w:rPr>
        <w:rFonts w:ascii="Arial" w:cs="Arial" w:eastAsia="Arial" w:hAnsi="Arial"/>
        <w:b w:val="1"/>
        <w:i w:val="0"/>
        <w:sz w:val="22"/>
        <w:szCs w:val="22"/>
        <w:vertAlign w:val="baseline"/>
      </w:rPr>
    </w:lvl>
    <w:lvl w:ilvl="1">
      <w:start w:val="1"/>
      <w:numFmt w:val="lowerLetter"/>
      <w:lvlText w:val="%2."/>
      <w:lvlJc w:val="left"/>
      <w:pPr>
        <w:ind w:left="2856" w:firstLine="2496"/>
      </w:pPr>
      <w:rPr>
        <w:vertAlign w:val="baseline"/>
      </w:rPr>
    </w:lvl>
    <w:lvl w:ilvl="2">
      <w:start w:val="1"/>
      <w:numFmt w:val="lowerRoman"/>
      <w:lvlText w:val="%3."/>
      <w:lvlJc w:val="right"/>
      <w:pPr>
        <w:ind w:left="3576" w:firstLine="3396"/>
      </w:pPr>
      <w:rPr>
        <w:vertAlign w:val="baseline"/>
      </w:rPr>
    </w:lvl>
    <w:lvl w:ilvl="3">
      <w:start w:val="1"/>
      <w:numFmt w:val="decimal"/>
      <w:lvlText w:val="%4."/>
      <w:lvlJc w:val="left"/>
      <w:pPr>
        <w:ind w:left="4296" w:firstLine="3936"/>
      </w:pPr>
      <w:rPr>
        <w:vertAlign w:val="baseline"/>
      </w:rPr>
    </w:lvl>
    <w:lvl w:ilvl="4">
      <w:start w:val="1"/>
      <w:numFmt w:val="lowerLetter"/>
      <w:lvlText w:val="%5."/>
      <w:lvlJc w:val="left"/>
      <w:pPr>
        <w:ind w:left="5016" w:firstLine="4656"/>
      </w:pPr>
      <w:rPr>
        <w:vertAlign w:val="baseline"/>
      </w:rPr>
    </w:lvl>
    <w:lvl w:ilvl="5">
      <w:start w:val="1"/>
      <w:numFmt w:val="lowerRoman"/>
      <w:lvlText w:val="%6."/>
      <w:lvlJc w:val="right"/>
      <w:pPr>
        <w:ind w:left="5736" w:firstLine="5556"/>
      </w:pPr>
      <w:rPr>
        <w:vertAlign w:val="baseline"/>
      </w:rPr>
    </w:lvl>
    <w:lvl w:ilvl="6">
      <w:start w:val="1"/>
      <w:numFmt w:val="decimal"/>
      <w:lvlText w:val="%7."/>
      <w:lvlJc w:val="left"/>
      <w:pPr>
        <w:ind w:left="6456" w:firstLine="6096"/>
      </w:pPr>
      <w:rPr>
        <w:vertAlign w:val="baseline"/>
      </w:rPr>
    </w:lvl>
    <w:lvl w:ilvl="7">
      <w:start w:val="1"/>
      <w:numFmt w:val="lowerLetter"/>
      <w:lvlText w:val="%8."/>
      <w:lvlJc w:val="left"/>
      <w:pPr>
        <w:ind w:left="7176" w:firstLine="6816"/>
      </w:pPr>
      <w:rPr>
        <w:vertAlign w:val="baseline"/>
      </w:rPr>
    </w:lvl>
    <w:lvl w:ilvl="8">
      <w:start w:val="1"/>
      <w:numFmt w:val="lowerRoman"/>
      <w:lvlText w:val="%9."/>
      <w:lvlJc w:val="right"/>
      <w:pPr>
        <w:ind w:left="7896" w:firstLine="7716"/>
      </w:pPr>
      <w:rPr>
        <w:vertAlign w:val="baseline"/>
      </w:rPr>
    </w:lvl>
  </w:abstractNum>
  <w:abstractNum w:abstractNumId="2">
    <w:lvl w:ilvl="0">
      <w:start w:val="1"/>
      <w:numFmt w:val="lowerLetter"/>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