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SCI- 065 -2009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12 de febrero del 2009</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Benavides, Rector</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Ingra. Giannina Ortiz, Vicerrectoría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2595, Artículo 09, del 12 de febrero del 2009. Solicitud Reajuste de Presupuesto Programa de Becas “Mauricio Campos” para el 2009.</w:t>
            </w:r>
            <w:r w:rsidDel="00000000" w:rsidR="00000000" w:rsidRPr="00000000">
              <w:rPr>
                <w:rtl w:val="0"/>
              </w:rPr>
            </w:r>
          </w:p>
        </w:tc>
      </w:tr>
    </w:tbl>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40" w:hanging="240"/>
        <w:jc w:val="both"/>
        <w:rPr>
          <w:rFonts w:ascii="Arial" w:cs="Arial" w:eastAsia="Arial" w:hAnsi="Arial"/>
        </w:rPr>
      </w:pPr>
      <w:r w:rsidDel="00000000" w:rsidR="00000000" w:rsidRPr="00000000">
        <w:rPr>
          <w:i w:val="0"/>
          <w:sz w:val="24"/>
          <w:szCs w:val="24"/>
          <w:vertAlign w:val="baseline"/>
          <w:rtl w:val="0"/>
        </w:rPr>
        <w:t xml:space="preserve">La Comisión Ejecutiva del Fondo Solidario de Desarrollo Estudiantil elaboró y presentó el presupuesto para el año 2009 según la distribución porcentual de los egresos aprobada por el Consejo Institucional en Sesión Nº 2499, Artículo 10, del 8 de febrero del 2007.</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tl w:val="0"/>
        </w:rPr>
      </w:r>
    </w:p>
    <w:p w:rsidR="00000000" w:rsidDel="00000000" w:rsidP="00000000" w:rsidRDefault="00000000" w:rsidRPr="00000000">
      <w:pPr>
        <w:numPr>
          <w:ilvl w:val="0"/>
          <w:numId w:val="2"/>
        </w:numPr>
        <w:ind w:left="240" w:hanging="240"/>
        <w:jc w:val="both"/>
        <w:rPr>
          <w:rFonts w:ascii="Arial" w:cs="Arial" w:eastAsia="Arial" w:hAnsi="Arial"/>
        </w:rPr>
      </w:pPr>
      <w:r w:rsidDel="00000000" w:rsidR="00000000" w:rsidRPr="00000000">
        <w:rPr>
          <w:i w:val="0"/>
          <w:sz w:val="24"/>
          <w:szCs w:val="24"/>
          <w:vertAlign w:val="baseline"/>
          <w:rtl w:val="0"/>
        </w:rPr>
        <w:t xml:space="preserve">Para el año 2009 por parte de la Vicerrectoría de Vida Estudiantil y Servicios Académicos en conjunto con las Escuelas se llevaron a cabo acciones para mejorar la atracción de estudiantes.</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tl w:val="0"/>
        </w:rPr>
      </w:r>
    </w:p>
    <w:p w:rsidR="00000000" w:rsidDel="00000000" w:rsidP="00000000" w:rsidRDefault="00000000" w:rsidRPr="00000000">
      <w:pPr>
        <w:numPr>
          <w:ilvl w:val="0"/>
          <w:numId w:val="2"/>
        </w:numPr>
        <w:ind w:left="240" w:hanging="240"/>
        <w:jc w:val="both"/>
        <w:rPr>
          <w:rFonts w:ascii="Arial" w:cs="Arial" w:eastAsia="Arial" w:hAnsi="Arial"/>
        </w:rPr>
      </w:pPr>
      <w:r w:rsidDel="00000000" w:rsidR="00000000" w:rsidRPr="00000000">
        <w:rPr>
          <w:i w:val="0"/>
          <w:sz w:val="24"/>
          <w:szCs w:val="24"/>
          <w:vertAlign w:val="baseline"/>
          <w:rtl w:val="0"/>
        </w:rPr>
        <w:t xml:space="preserve">La Institución ha implementado un programa de admisión diferenciada para los estudiantes que ingresan a las carreras del bloque Agroforestal y mantiene el programa de Admisión Restringida dirigido a estudiantes que provienen de zonas de índice de desarrollo económico desfavorable.</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tl w:val="0"/>
        </w:rPr>
      </w:r>
    </w:p>
    <w:p w:rsidR="00000000" w:rsidDel="00000000" w:rsidP="00000000" w:rsidRDefault="00000000" w:rsidRPr="00000000">
      <w:pPr>
        <w:numPr>
          <w:ilvl w:val="0"/>
          <w:numId w:val="2"/>
        </w:numPr>
        <w:ind w:left="240" w:hanging="240"/>
        <w:jc w:val="both"/>
        <w:rPr>
          <w:rFonts w:ascii="Arial" w:cs="Arial" w:eastAsia="Arial" w:hAnsi="Arial"/>
          <w:color w:val="000000"/>
        </w:rPr>
      </w:pPr>
      <w:r w:rsidDel="00000000" w:rsidR="00000000" w:rsidRPr="00000000">
        <w:rPr>
          <w:i w:val="0"/>
          <w:sz w:val="24"/>
          <w:szCs w:val="24"/>
          <w:vertAlign w:val="baseline"/>
          <w:rtl w:val="0"/>
        </w:rPr>
        <w:t xml:space="preserve">El Departamento de Trabajo Social y Salud recibió la población solicitante para el I Semestre 2009, la cual se incrementó sustancialmente (304%) respecto a la población que en años anteriores ha solicitado algún tipo de beneficio.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3280.0" w:type="dxa"/>
        <w:jc w:val="center"/>
        <w:tblInd w:w="1550.0" w:type="dxa"/>
        <w:tblLayout w:type="fixed"/>
        <w:tblLook w:val="0000"/>
      </w:tblPr>
      <w:tblGrid>
        <w:gridCol w:w="704"/>
        <w:gridCol w:w="2576"/>
        <w:tblGridChange w:id="0">
          <w:tblGrid>
            <w:gridCol w:w="704"/>
            <w:gridCol w:w="2576"/>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b w:val="1"/>
                <w:i w:val="1"/>
                <w:sz w:val="20"/>
                <w:szCs w:val="20"/>
                <w:vertAlign w:val="baseline"/>
                <w:rtl w:val="0"/>
              </w:rPr>
              <w:t xml:space="preserve">ESTUDIANTES SOLICITANTES</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sz w:val="20"/>
                <w:szCs w:val="20"/>
                <w:vertAlign w:val="baseline"/>
                <w:rtl w:val="0"/>
              </w:rPr>
              <w:t xml:space="preserve">AÑO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sz w:val="20"/>
                <w:szCs w:val="20"/>
                <w:vertAlign w:val="baseline"/>
                <w:rtl w:val="0"/>
              </w:rPr>
              <w:t xml:space="preserve">Nº DE ESTUDIANTES</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vertAlign w:val="baseline"/>
                <w:rtl w:val="0"/>
              </w:rPr>
              <w:t xml:space="preserve">2008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vertAlign w:val="baseline"/>
                <w:rtl w:val="0"/>
              </w:rPr>
              <w:t xml:space="preserve">125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vertAlign w:val="baseline"/>
                <w:rtl w:val="0"/>
              </w:rPr>
              <w:t xml:space="preserve">2009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1"/>
                <w:vertAlign w:val="baseline"/>
                <w:rtl w:val="0"/>
              </w:rPr>
              <w:t xml:space="preserve">505</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40" w:hanging="240"/>
        <w:jc w:val="both"/>
        <w:rPr>
          <w:rFonts w:ascii="Arial" w:cs="Arial" w:eastAsia="Arial" w:hAnsi="Arial"/>
        </w:rPr>
      </w:pPr>
      <w:r w:rsidDel="00000000" w:rsidR="00000000" w:rsidRPr="00000000">
        <w:rPr>
          <w:i w:val="0"/>
          <w:sz w:val="24"/>
          <w:szCs w:val="24"/>
          <w:vertAlign w:val="baseline"/>
          <w:rtl w:val="0"/>
        </w:rPr>
        <w:t xml:space="preserve">El índice socioeconómico que actualmente se utiliza para la asignación de beca y financiamiento de estudios está conformado por las siguientes variables y presentan los siguientes promedios en cada una de ellas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2595, Artículo 09, del 12 de febrero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720.0" w:type="dxa"/>
        <w:jc w:val="left"/>
        <w:tblInd w:w="-240.0" w:type="dxa"/>
        <w:tblLayout w:type="fixed"/>
        <w:tblLook w:val="0000"/>
      </w:tblPr>
      <w:tblGrid>
        <w:gridCol w:w="540"/>
        <w:gridCol w:w="1380"/>
        <w:gridCol w:w="840"/>
        <w:gridCol w:w="720"/>
        <w:gridCol w:w="720"/>
        <w:gridCol w:w="720"/>
        <w:gridCol w:w="1080"/>
        <w:gridCol w:w="600"/>
        <w:gridCol w:w="1080"/>
        <w:gridCol w:w="1080"/>
        <w:gridCol w:w="960"/>
        <w:tblGridChange w:id="0">
          <w:tblGrid>
            <w:gridCol w:w="540"/>
            <w:gridCol w:w="1380"/>
            <w:gridCol w:w="840"/>
            <w:gridCol w:w="720"/>
            <w:gridCol w:w="720"/>
            <w:gridCol w:w="720"/>
            <w:gridCol w:w="1080"/>
            <w:gridCol w:w="600"/>
            <w:gridCol w:w="1080"/>
            <w:gridCol w:w="1080"/>
            <w:gridCol w:w="960"/>
          </w:tblGrid>
        </w:tblGridChange>
      </w:tblGrid>
      <w:tr>
        <w:trPr>
          <w:trHeight w:val="240" w:hRule="atLeast"/>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i w:val="0"/>
                <w:color w:val="000000"/>
                <w:sz w:val="18"/>
                <w:szCs w:val="18"/>
                <w:vertAlign w:val="baseline"/>
                <w:rtl w:val="0"/>
              </w:rPr>
              <w:t xml:space="preserve">Perfiles del índice actual</w:t>
            </w:r>
            <w:r w:rsidDel="00000000" w:rsidR="00000000" w:rsidRPr="00000000">
              <w:rPr>
                <w:rtl w:val="0"/>
              </w:rPr>
            </w:r>
          </w:p>
        </w:tc>
      </w:tr>
      <w:tr>
        <w:trPr>
          <w:trHeight w:val="240" w:hRule="atLeast"/>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2008</w:t>
            </w:r>
            <w:r w:rsidDel="00000000" w:rsidR="00000000" w:rsidRPr="00000000">
              <w:rPr>
                <w:rtl w:val="0"/>
              </w:rPr>
            </w:r>
          </w:p>
        </w:tc>
      </w:tr>
      <w:tr>
        <w:trPr>
          <w:trHeight w:val="620" w:hRule="atLeast"/>
        </w:trPr>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CAT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INGRESO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AREA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 VEHIC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 BAÑOS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 MIEMBROS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ELECTRICIDAD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OCUP</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JEFE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COLEGIO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MARCHAMO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DEUDAS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120.724,29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51,333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0,048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5,667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7.482,52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2.945,81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187.469,96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72,218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0,244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4,487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8.010,01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554,49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9.958,91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1.083,46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307.688,32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88,673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0,632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1,211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4,632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10.662,53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157,89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23.591,79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2.939,47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437.617,83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114,992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0,690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1,379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4,552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11.492,86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620,69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25.819,41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7.717,24</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593.224,36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108,455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0,727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1,545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4,545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13.663,36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1.181,82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34.677,18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1.909,09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704.309,09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135,000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0,818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1,727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4,636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14.212,27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3.818,18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46.073,55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16.630,00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963.438,50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106,250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1,750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4,250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17.575,00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21.825,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250" w:firstLine="250"/>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42.656,25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32.500,00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1.474.333,50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253,000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13.500,00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8.500,00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96.271,00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La asignación de beneficios se asocia a la categoría asignada según se detalla: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2600.0" w:type="dxa"/>
        <w:jc w:val="center"/>
        <w:tblInd w:w="-10.0" w:type="dxa"/>
        <w:tblLayout w:type="fixed"/>
        <w:tblLook w:val="0000"/>
      </w:tblPr>
      <w:tblGrid>
        <w:gridCol w:w="422"/>
        <w:gridCol w:w="786"/>
        <w:gridCol w:w="1392"/>
        <w:tblGridChange w:id="0">
          <w:tblGrid>
            <w:gridCol w:w="422"/>
            <w:gridCol w:w="786"/>
            <w:gridCol w:w="1392"/>
          </w:tblGrid>
        </w:tblGridChange>
      </w:tblGrid>
      <w:tr>
        <w:trPr>
          <w:trHeight w:val="260" w:hRule="atLeast"/>
        </w:trPr>
        <w:tc>
          <w:tcPr>
            <w:gridSpan w:val="3"/>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b w:val="1"/>
                <w:i w:val="1"/>
                <w:vertAlign w:val="baseline"/>
                <w:rtl w:val="0"/>
              </w:rPr>
              <w:t xml:space="preserve">CATEGORÍA SEGÚN BENEFICIO</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CAT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 BECA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 PRÉSTAMO</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50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60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70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75</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80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100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Los costos de estudio (alojamiento, alimentación, transporte, material didáctico) se han incrementado considerablemente  en los últimos años y no en igual relación los montos que se asignan a las y los estudiantes. Los costos de estudio actualizados para el año 2009 son el monto de referencia para la asignación de beca o financiamiento mensual según la siguiente tabla: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2595, Artículo 09, del 12 de febrero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10390.0" w:type="dxa"/>
        <w:jc w:val="left"/>
        <w:tblInd w:w="-70.0" w:type="dxa"/>
        <w:tblLayout w:type="fixed"/>
        <w:tblLook w:val="0000"/>
      </w:tblPr>
      <w:tblGrid>
        <w:gridCol w:w="1200"/>
        <w:gridCol w:w="213"/>
        <w:gridCol w:w="770"/>
        <w:gridCol w:w="140"/>
        <w:gridCol w:w="702"/>
        <w:gridCol w:w="213"/>
        <w:gridCol w:w="687"/>
        <w:gridCol w:w="213"/>
        <w:gridCol w:w="615"/>
        <w:gridCol w:w="285"/>
        <w:gridCol w:w="615"/>
        <w:gridCol w:w="285"/>
        <w:gridCol w:w="615"/>
        <w:gridCol w:w="285"/>
        <w:gridCol w:w="615"/>
        <w:gridCol w:w="285"/>
        <w:gridCol w:w="730"/>
        <w:gridCol w:w="285"/>
        <w:gridCol w:w="610"/>
        <w:gridCol w:w="405"/>
        <w:gridCol w:w="622"/>
        <w:tblGridChange w:id="0">
          <w:tblGrid>
            <w:gridCol w:w="1200"/>
            <w:gridCol w:w="213"/>
            <w:gridCol w:w="770"/>
            <w:gridCol w:w="140"/>
            <w:gridCol w:w="702"/>
            <w:gridCol w:w="213"/>
            <w:gridCol w:w="687"/>
            <w:gridCol w:w="213"/>
            <w:gridCol w:w="615"/>
            <w:gridCol w:w="285"/>
            <w:gridCol w:w="615"/>
            <w:gridCol w:w="285"/>
            <w:gridCol w:w="615"/>
            <w:gridCol w:w="285"/>
            <w:gridCol w:w="615"/>
            <w:gridCol w:w="285"/>
            <w:gridCol w:w="730"/>
            <w:gridCol w:w="285"/>
            <w:gridCol w:w="610"/>
            <w:gridCol w:w="405"/>
            <w:gridCol w:w="622"/>
          </w:tblGrid>
        </w:tblGridChange>
      </w:tblGrid>
      <w:tr>
        <w:trPr>
          <w:trHeight w:val="240" w:hRule="atLeast"/>
        </w:trP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b w:val="1"/>
                <w:i w:val="0"/>
                <w:color w:val="000000"/>
                <w:sz w:val="22"/>
                <w:szCs w:val="22"/>
                <w:vertAlign w:val="baseline"/>
                <w:rtl w:val="0"/>
              </w:rPr>
              <w:t xml:space="preserve">costos de estudio</w:t>
            </w:r>
            <w:r w:rsidDel="00000000" w:rsidR="00000000" w:rsidRPr="00000000">
              <w:rPr>
                <w:rtl w:val="0"/>
              </w:rPr>
            </w:r>
          </w:p>
        </w:tc>
      </w:tr>
      <w:tr>
        <w:trPr>
          <w:trHeight w:val="240" w:hRule="atLeast"/>
        </w:trP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b w:val="1"/>
                <w:i w:val="0"/>
                <w:sz w:val="20"/>
                <w:szCs w:val="20"/>
                <w:vertAlign w:val="baseline"/>
                <w:rtl w:val="0"/>
              </w:rPr>
              <w:t xml:space="preserve">2008</w:t>
            </w: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Rubro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Cartago Centro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Cartago Alre.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Turrialb/Tres Ríos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San José</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Heredia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Alajuela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Zona Alejada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Zona Alejada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San Carlos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Residentes Cartago</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Material Didáctico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7.500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Transporte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5.000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8.000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38.677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23.800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30.200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30.200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10.923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10.923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10.923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10.923</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Alimentación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8.191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12.700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20.000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20.000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25.000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25.000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35.000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37.460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49.377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32.277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Alojamiento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40.000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25.000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12.000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18"/>
                <w:szCs w:val="18"/>
                <w:vertAlign w:val="baseline"/>
                <w:rtl w:val="0"/>
              </w:rPr>
              <w:t xml:space="preserve">₡</w:t>
            </w:r>
            <w:r w:rsidDel="00000000" w:rsidR="00000000" w:rsidRPr="00000000">
              <w:rPr>
                <w:i w:val="0"/>
                <w:sz w:val="18"/>
                <w:szCs w:val="18"/>
                <w:vertAlign w:val="baseline"/>
                <w:rtl w:val="0"/>
              </w:rPr>
              <w:t xml:space="preserve">12.000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0"/>
                <w:sz w:val="18"/>
                <w:szCs w:val="18"/>
                <w:vertAlign w:val="baseline"/>
                <w:rtl w:val="0"/>
              </w:rPr>
              <w:t xml:space="preserve">TOTAL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20.691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28.200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66.177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51.300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62.700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62.700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93.423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80.883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79.800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18"/>
                <w:szCs w:val="18"/>
                <w:vertAlign w:val="baseline"/>
                <w:rtl w:val="0"/>
              </w:rPr>
              <w:t xml:space="preserve">₡</w:t>
            </w:r>
            <w:r w:rsidDel="00000000" w:rsidR="00000000" w:rsidRPr="00000000">
              <w:rPr>
                <w:b w:val="1"/>
                <w:i w:val="0"/>
                <w:sz w:val="18"/>
                <w:szCs w:val="18"/>
                <w:vertAlign w:val="baseline"/>
                <w:rtl w:val="0"/>
              </w:rPr>
              <w:t xml:space="preserve">62.700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De acuerdo al análisis realizado por las trabajadoras sociales y según la asignación del índice socioeconómico, es evidente el incremento en la asignación de la Beca “Mauricio Campos” para una población de aproximadamente 291 estudiantes, dadas las características socioeconómicas que presentan los hogares de las cuales provienen.</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Se ha evidenciado cada vez con mayor argumento, que el sistema de préstamos en este momento no es un programa que facilite la atracción y permanencia de estudiantes. Algunos argumentos por los cuales no es atractivo el sistema de préstamo son los siguientes: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1440" w:hanging="360"/>
        <w:jc w:val="both"/>
        <w:rPr>
          <w:rFonts w:ascii="Arial" w:cs="Arial" w:eastAsia="Arial" w:hAnsi="Arial"/>
          <w:b w:val="0"/>
          <w:i w:val="0"/>
          <w:color w:val="000000"/>
          <w:sz w:val="24"/>
          <w:szCs w:val="24"/>
        </w:rPr>
      </w:pPr>
      <w:r w:rsidDel="00000000" w:rsidR="00000000" w:rsidRPr="00000000">
        <w:rPr>
          <w:i w:val="0"/>
          <w:sz w:val="24"/>
          <w:szCs w:val="24"/>
          <w:vertAlign w:val="baseline"/>
          <w:rtl w:val="0"/>
        </w:rPr>
        <w:t xml:space="preserve">se anuncia una crisis económica mundial con repercusiones importantes para el área centroamericana</w:t>
      </w:r>
      <w:r w:rsidDel="00000000" w:rsidR="00000000" w:rsidRPr="00000000">
        <w:rPr>
          <w:rtl w:val="0"/>
        </w:rPr>
      </w:r>
    </w:p>
    <w:p w:rsidR="00000000" w:rsidDel="00000000" w:rsidP="00000000" w:rsidRDefault="00000000" w:rsidRPr="00000000">
      <w:pPr>
        <w:numPr>
          <w:ilvl w:val="1"/>
          <w:numId w:val="1"/>
        </w:numPr>
        <w:ind w:left="1440" w:hanging="360"/>
        <w:jc w:val="both"/>
        <w:rPr>
          <w:rFonts w:ascii="Arial" w:cs="Arial" w:eastAsia="Arial" w:hAnsi="Arial"/>
          <w:b w:val="0"/>
          <w:i w:val="0"/>
          <w:color w:val="000000"/>
          <w:sz w:val="24"/>
          <w:szCs w:val="24"/>
        </w:rPr>
      </w:pPr>
      <w:r w:rsidDel="00000000" w:rsidR="00000000" w:rsidRPr="00000000">
        <w:rPr>
          <w:i w:val="0"/>
          <w:sz w:val="24"/>
          <w:szCs w:val="24"/>
          <w:vertAlign w:val="baseline"/>
          <w:rtl w:val="0"/>
        </w:rPr>
        <w:t xml:space="preserve">las universidades estatales (UNA, UCR) están haciendo esfuerzos para incrementar su asignación en becas</w:t>
      </w:r>
      <w:r w:rsidDel="00000000" w:rsidR="00000000" w:rsidRPr="00000000">
        <w:rPr>
          <w:rtl w:val="0"/>
        </w:rPr>
      </w:r>
    </w:p>
    <w:p w:rsidR="00000000" w:rsidDel="00000000" w:rsidP="00000000" w:rsidRDefault="00000000" w:rsidRPr="00000000">
      <w:pPr>
        <w:numPr>
          <w:ilvl w:val="1"/>
          <w:numId w:val="1"/>
        </w:numPr>
        <w:ind w:left="1440" w:hanging="360"/>
        <w:jc w:val="both"/>
        <w:rPr>
          <w:rFonts w:ascii="Arial" w:cs="Arial" w:eastAsia="Arial" w:hAnsi="Arial"/>
          <w:b w:val="0"/>
          <w:i w:val="0"/>
          <w:color w:val="000000"/>
          <w:sz w:val="24"/>
          <w:szCs w:val="24"/>
        </w:rPr>
      </w:pPr>
      <w:r w:rsidDel="00000000" w:rsidR="00000000" w:rsidRPr="00000000">
        <w:rPr>
          <w:i w:val="0"/>
          <w:sz w:val="24"/>
          <w:szCs w:val="24"/>
          <w:vertAlign w:val="baseline"/>
          <w:rtl w:val="0"/>
        </w:rPr>
        <w:t xml:space="preserve">el estudiante con situación socioeconómica desfavorable, tiene serias dificultades para encontrar personas que cumplan los requisitos mínimos para respaldar su préstamo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Para el año 2009 se cuenta en el objeto de gasto Beca “Mauricio Campos” con un monto de </w:t>
      </w:r>
      <w:r w:rsidDel="00000000" w:rsidR="00000000" w:rsidRPr="00000000">
        <w:rPr>
          <w:rFonts w:ascii="Arial Unicode MS" w:cs="Arial Unicode MS" w:eastAsia="Arial Unicode MS" w:hAnsi="Arial Unicode MS"/>
          <w:i w:val="0"/>
          <w:sz w:val="24"/>
          <w:szCs w:val="24"/>
          <w:vertAlign w:val="baseline"/>
          <w:rtl w:val="0"/>
        </w:rPr>
        <w:t xml:space="preserve">⊄126.343.268,00 (ciento veintiséis millones trescientos cuarenta y tres mil doscientos sesenta y ocho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El cálculo preliminar de becas nos presenta el siguiente escenario respecto a los y las estudiantes solicitantes para el año 2009 (se incluyen estudiantes de primer ingreso y estudiantes regulares que solicitan por primera vez o solicitan reintegro de beca o financiamiento):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2595, Artículo 09, del 12 de febrero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6880.0" w:type="dxa"/>
        <w:jc w:val="center"/>
        <w:tblInd w:w="-10.0" w:type="dxa"/>
        <w:tblLayout w:type="fixed"/>
        <w:tblLook w:val="0000"/>
      </w:tblPr>
      <w:tblGrid>
        <w:gridCol w:w="1421"/>
        <w:gridCol w:w="926"/>
        <w:gridCol w:w="1649"/>
        <w:gridCol w:w="822"/>
        <w:gridCol w:w="2062"/>
        <w:tblGridChange w:id="0">
          <w:tblGrid>
            <w:gridCol w:w="1421"/>
            <w:gridCol w:w="926"/>
            <w:gridCol w:w="1649"/>
            <w:gridCol w:w="822"/>
            <w:gridCol w:w="2062"/>
          </w:tblGrid>
        </w:tblGridChange>
      </w:tblGrid>
      <w:tr>
        <w:trPr>
          <w:trHeight w:val="240" w:hRule="atLeast"/>
        </w:trPr>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i w:val="0"/>
                <w:sz w:val="20"/>
                <w:szCs w:val="20"/>
                <w:vertAlign w:val="baseline"/>
                <w:rtl w:val="0"/>
              </w:rPr>
              <w:t xml:space="preserve">NUEVAS SOLICITUDES 2009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color w:val="000000"/>
                <w:sz w:val="22"/>
                <w:szCs w:val="22"/>
                <w:vertAlign w:val="baseline"/>
                <w:rtl w:val="0"/>
              </w:rPr>
              <w:t xml:space="preserve">CATEGORÍA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color w:val="000000"/>
                <w:sz w:val="22"/>
                <w:szCs w:val="22"/>
                <w:vertAlign w:val="baseline"/>
                <w:rtl w:val="0"/>
              </w:rPr>
              <w:t xml:space="preserve">% BECA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 PRÉSTAMO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Nº EST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TOTAL MENSUAL</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195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13.608.829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4.366.184</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TOTAL BECAS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291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20"/>
                <w:szCs w:val="20"/>
                <w:vertAlign w:val="baseline"/>
                <w:rtl w:val="0"/>
              </w:rPr>
              <w:t xml:space="preserve">₡</w:t>
            </w:r>
            <w:r w:rsidDel="00000000" w:rsidR="00000000" w:rsidRPr="00000000">
              <w:rPr>
                <w:b w:val="1"/>
                <w:i w:val="0"/>
                <w:sz w:val="20"/>
                <w:szCs w:val="20"/>
                <w:vertAlign w:val="baseline"/>
                <w:rtl w:val="0"/>
              </w:rPr>
              <w:t xml:space="preserve">17.975.013</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3.598.474</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2.353.182</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1.588.383</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1.160.851</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683.659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546.360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000000"/>
                <w:sz w:val="22"/>
                <w:szCs w:val="22"/>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i w:val="0"/>
                <w:sz w:val="20"/>
                <w:szCs w:val="20"/>
                <w:vertAlign w:val="baseline"/>
                <w:rtl w:val="0"/>
              </w:rPr>
              <w:t xml:space="preserve">₡</w:t>
            </w:r>
            <w:r w:rsidDel="00000000" w:rsidR="00000000" w:rsidRPr="00000000">
              <w:rPr>
                <w:i w:val="0"/>
                <w:sz w:val="20"/>
                <w:szCs w:val="20"/>
                <w:vertAlign w:val="baseline"/>
                <w:rtl w:val="0"/>
              </w:rPr>
              <w:t xml:space="preserve">234.349</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TOTAL FINANCIAMIENTO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b w:val="1"/>
                <w:i w:val="0"/>
                <w:sz w:val="20"/>
                <w:szCs w:val="20"/>
                <w:vertAlign w:val="baseline"/>
                <w:rtl w:val="0"/>
              </w:rPr>
              <w:t xml:space="preserve">214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right"/>
            </w:pPr>
            <w:r w:rsidDel="00000000" w:rsidR="00000000" w:rsidRPr="00000000">
              <w:rPr>
                <w:rFonts w:ascii="Tahoma" w:cs="Tahoma" w:eastAsia="Tahoma" w:hAnsi="Tahoma"/>
                <w:b w:val="1"/>
                <w:i w:val="0"/>
                <w:sz w:val="20"/>
                <w:szCs w:val="20"/>
                <w:vertAlign w:val="baseline"/>
                <w:rtl w:val="0"/>
              </w:rPr>
              <w:t xml:space="preserve">₡</w:t>
            </w:r>
            <w:r w:rsidDel="00000000" w:rsidR="00000000" w:rsidRPr="00000000">
              <w:rPr>
                <w:b w:val="1"/>
                <w:i w:val="0"/>
                <w:sz w:val="20"/>
                <w:szCs w:val="20"/>
                <w:vertAlign w:val="baseline"/>
                <w:rtl w:val="0"/>
              </w:rPr>
              <w:t xml:space="preserve">10.165.258</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TOTAL ESTUDIANTES RECEPCIONADOS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505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0"/>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Al incorporar los nuevos solicitantes para el I Semestre 2009 con las y los estudiantes que mantienen los beneficios en beca y financiamiento de estudios asignados en años anteriores, se presenta el siguiente escenario: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11516.0" w:type="dxa"/>
        <w:jc w:val="left"/>
        <w:tblInd w:w="-1405.0" w:type="dxa"/>
        <w:tblLayout w:type="fixed"/>
        <w:tblLook w:val="0000"/>
      </w:tblPr>
      <w:tblGrid>
        <w:gridCol w:w="593"/>
        <w:gridCol w:w="1560"/>
        <w:gridCol w:w="1440"/>
        <w:gridCol w:w="1440"/>
        <w:gridCol w:w="1320"/>
        <w:gridCol w:w="480"/>
        <w:gridCol w:w="1320"/>
        <w:gridCol w:w="600"/>
        <w:gridCol w:w="1320"/>
        <w:gridCol w:w="1443"/>
        <w:tblGridChange w:id="0">
          <w:tblGrid>
            <w:gridCol w:w="593"/>
            <w:gridCol w:w="1560"/>
            <w:gridCol w:w="1440"/>
            <w:gridCol w:w="1440"/>
            <w:gridCol w:w="1320"/>
            <w:gridCol w:w="480"/>
            <w:gridCol w:w="1320"/>
            <w:gridCol w:w="600"/>
            <w:gridCol w:w="1320"/>
            <w:gridCol w:w="1443"/>
          </w:tblGrid>
        </w:tblGridChange>
      </w:tblGrid>
      <w:tr>
        <w:trPr>
          <w:trHeight w:val="500" w:hRule="atLeast"/>
        </w:trPr>
        <w:tc>
          <w:tcPr>
            <w:vMerge w:val="restart"/>
            <w:tcBorders>
              <w:top w:color="000000" w:space="0" w:sz="4" w:val="single"/>
              <w:left w:color="000000" w:space="0" w:sz="4"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OBJ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DE GASTO</w:t>
            </w:r>
            <w:r w:rsidDel="00000000" w:rsidR="00000000" w:rsidRPr="00000000">
              <w:rPr>
                <w:rtl w:val="0"/>
              </w:rPr>
            </w:r>
          </w:p>
        </w:tc>
        <w:tc>
          <w:tcPr>
            <w:vMerge w:val="restart"/>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CONCEPTO</w:t>
            </w:r>
            <w:r w:rsidDel="00000000" w:rsidR="00000000" w:rsidRPr="00000000">
              <w:rPr>
                <w:rtl w:val="0"/>
              </w:rPr>
            </w:r>
          </w:p>
        </w:tc>
        <w:tc>
          <w:tcPr>
            <w:vMerge w:val="restart"/>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PRESUPUESTO </w:t>
            </w:r>
            <w:r w:rsidDel="00000000" w:rsidR="00000000" w:rsidRPr="00000000">
              <w:rPr>
                <w:rtl w:val="0"/>
              </w:rPr>
            </w:r>
          </w:p>
        </w:tc>
        <w:tc>
          <w:tcPr>
            <w:vMerge w:val="restart"/>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DIFERENCIA          </w:t>
            </w:r>
            <w:r w:rsidDel="00000000" w:rsidR="00000000" w:rsidRPr="00000000">
              <w:rPr>
                <w:rtl w:val="0"/>
              </w:rPr>
            </w:r>
          </w:p>
        </w:tc>
        <w:tc>
          <w:tcPr>
            <w:gridSpan w:val="2"/>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ESTUDIANTES REGULARES</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ESTUDIANTES NUEVOS</w:t>
            </w:r>
            <w:r w:rsidDel="00000000" w:rsidR="00000000" w:rsidRPr="00000000">
              <w:rPr>
                <w:rtl w:val="0"/>
              </w:rPr>
            </w:r>
          </w:p>
        </w:tc>
        <w:tc>
          <w:tcPr>
            <w:vMerge w:val="restart"/>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TOTAL MENSUAL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 </w:t>
            </w:r>
            <w:r w:rsidDel="00000000" w:rsidR="00000000" w:rsidRPr="00000000">
              <w:rPr>
                <w:rtl w:val="0"/>
              </w:rPr>
            </w:r>
          </w:p>
        </w:tc>
        <w:tc>
          <w:tcPr>
            <w:vMerge w:val="restart"/>
            <w:tcBorders>
              <w:top w:color="000000" w:space="0" w:sz="4" w:val="single"/>
              <w:left w:color="000000" w:space="0" w:sz="8"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TOTAL ANUAL</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MONTO MENSUAL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      </w:t>
            </w:r>
            <w:r w:rsidDel="00000000" w:rsidR="00000000" w:rsidRPr="00000000">
              <w:rPr>
                <w:rtl w:val="0"/>
              </w:rPr>
            </w:r>
          </w:p>
        </w:tc>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NºEST</w:t>
            </w: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MONTO MENSUAL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NºEST</w:t>
            </w: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8"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4111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sz w:val="18"/>
                <w:szCs w:val="18"/>
                <w:vertAlign w:val="baseline"/>
                <w:rtl w:val="0"/>
              </w:rPr>
              <w:t xml:space="preserve">Préstamos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color w:val="000000"/>
                <w:sz w:val="18"/>
                <w:szCs w:val="18"/>
                <w:vertAlign w:val="baseline"/>
                <w:rtl w:val="0"/>
              </w:rPr>
              <w:t xml:space="preserve">169.209.734,00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8.420.914,60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8.330.226,60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303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6.286.938,80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14.617.165,40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160.788.819,40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6221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sz w:val="18"/>
                <w:szCs w:val="18"/>
                <w:vertAlign w:val="baseline"/>
                <w:rtl w:val="0"/>
              </w:rPr>
              <w:t xml:space="preserve">Becas Socioeconómicas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color w:val="000000"/>
                <w:sz w:val="18"/>
                <w:szCs w:val="18"/>
                <w:vertAlign w:val="baseline"/>
                <w:rtl w:val="0"/>
              </w:rPr>
              <w:t xml:space="preserve">94.757.451,00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16.973.735,10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3.427.277,90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303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3.643.969,00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7.071.246,90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77.783.715,90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6223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sz w:val="18"/>
                <w:szCs w:val="18"/>
                <w:vertAlign w:val="baseline"/>
                <w:rtl w:val="0"/>
              </w:rPr>
              <w:t xml:space="preserve">Becas Mauricio Campos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color w:val="000000"/>
                <w:sz w:val="18"/>
                <w:szCs w:val="18"/>
                <w:vertAlign w:val="baseline"/>
                <w:rtl w:val="0"/>
              </w:rPr>
              <w:t xml:space="preserve">126.343.268,00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-160.331.118,90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8.086.295,00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17.975.012,90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sz w:val="18"/>
                <w:szCs w:val="18"/>
                <w:vertAlign w:val="baseline"/>
                <w:rtl w:val="0"/>
              </w:rPr>
              <w:t xml:space="preserve">291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26.061.307,90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i w:val="0"/>
                <w:sz w:val="18"/>
                <w:szCs w:val="18"/>
                <w:vertAlign w:val="baseline"/>
                <w:rtl w:val="0"/>
              </w:rPr>
              <w:t xml:space="preserve">286.674.386,90</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390.310.453,00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-134.936.469,20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19.843.799,50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503</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27.905.920,70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i w:val="0"/>
                <w:sz w:val="18"/>
                <w:szCs w:val="18"/>
                <w:vertAlign w:val="baseline"/>
                <w:rtl w:val="0"/>
              </w:rPr>
              <w:t xml:space="preserve">505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47.749.720,20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b w:val="1"/>
                <w:i w:val="0"/>
                <w:sz w:val="18"/>
                <w:szCs w:val="18"/>
                <w:vertAlign w:val="baseline"/>
                <w:rtl w:val="0"/>
              </w:rPr>
              <w:t xml:space="preserve">525.246.922,20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i w:val="0"/>
          <w:sz w:val="24"/>
          <w:szCs w:val="24"/>
          <w:vertAlign w:val="baseline"/>
          <w:rtl w:val="0"/>
        </w:rPr>
        <w:t xml:space="preserve">Para atender a la nueva población solicitante se requiere un ajuste presupuestario que permita garantizar la permanencia de estos(as) estudiantes con un monto adecuado para que puedan cubrir los gastos de estudio que representa su incorporación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2595, Artículo 09, del 12 de febrero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80" w:hanging="480"/>
        <w:jc w:val="both"/>
        <w:rPr/>
      </w:pPr>
      <w:r w:rsidDel="00000000" w:rsidR="00000000" w:rsidRPr="00000000">
        <w:rPr>
          <w:i w:val="0"/>
          <w:sz w:val="24"/>
          <w:szCs w:val="24"/>
          <w:vertAlign w:val="baseline"/>
          <w:rtl w:val="0"/>
        </w:rPr>
        <w:t xml:space="preserve">Suspender hasta el 15 de mayo del 2009 el acuerdo de la Sesión 2499, Artículo 10 del 8 de febrero del 2007 en donde se aprueba una distribución porcentual de los egresos del Fondo Solidario de Desarrollo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80" w:hanging="480"/>
        <w:jc w:val="both"/>
        <w:rPr/>
      </w:pPr>
      <w:r w:rsidDel="00000000" w:rsidR="00000000" w:rsidRPr="00000000">
        <w:rPr>
          <w:i w:val="0"/>
          <w:sz w:val="24"/>
          <w:szCs w:val="24"/>
          <w:vertAlign w:val="baseline"/>
          <w:rtl w:val="0"/>
        </w:rPr>
        <w:t xml:space="preserve">Aprobar la asignación de becas y financiamiento de estudios, realizada por el Departamento de Trabajo Social y Salud para el año 2009, en apego a las necesidades de la población solicitante de beneficios.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tl w:val="0"/>
        </w:rPr>
      </w:r>
    </w:p>
    <w:p w:rsidR="00000000" w:rsidDel="00000000" w:rsidP="00000000" w:rsidRDefault="00000000" w:rsidRPr="00000000">
      <w:pPr>
        <w:numPr>
          <w:ilvl w:val="0"/>
          <w:numId w:val="3"/>
        </w:numPr>
        <w:ind w:left="480" w:hanging="480"/>
        <w:jc w:val="both"/>
        <w:rPr/>
      </w:pPr>
      <w:r w:rsidDel="00000000" w:rsidR="00000000" w:rsidRPr="00000000">
        <w:rPr>
          <w:i w:val="0"/>
          <w:sz w:val="24"/>
          <w:szCs w:val="24"/>
          <w:vertAlign w:val="baseline"/>
          <w:rtl w:val="0"/>
        </w:rPr>
        <w:t xml:space="preserve">Encomendar a la Administración incorporar en un presupuesto extraordinario los recursos necesarios para la asignación de las becas a estudiantes.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tl w:val="0"/>
        </w:rPr>
      </w:r>
    </w:p>
    <w:p w:rsidR="00000000" w:rsidDel="00000000" w:rsidP="00000000" w:rsidRDefault="00000000" w:rsidRPr="00000000">
      <w:pPr>
        <w:numPr>
          <w:ilvl w:val="0"/>
          <w:numId w:val="3"/>
        </w:numPr>
        <w:ind w:left="480" w:hanging="480"/>
        <w:jc w:val="both"/>
        <w:rPr/>
      </w:pPr>
      <w:r w:rsidDel="00000000" w:rsidR="00000000" w:rsidRPr="00000000">
        <w:rPr>
          <w:i w:val="0"/>
          <w:sz w:val="24"/>
          <w:szCs w:val="24"/>
          <w:vertAlign w:val="baseline"/>
          <w:rtl w:val="0"/>
        </w:rPr>
        <w:t xml:space="preserve">Presentar ante el Consejo Institucional la Propuesta de Reestructuración del Sistema de Becas y Financiamiento de Estudios a más tardar el 30 de abril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80" w:hanging="48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Depto. de Admisión y Registro</w:t>
            </w: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Verdana"/>
  <w:font w:name="Arial Unicode MS"/>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