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2"/>
          <w:szCs w:val="22"/>
          <w:vertAlign w:val="baseline"/>
          <w:rtl w:val="0"/>
        </w:rPr>
        <w:t xml:space="preserve">SCI-141 -2009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2"/>
          <w:szCs w:val="22"/>
          <w:vertAlign w:val="baseline"/>
          <w:rtl w:val="0"/>
        </w:rPr>
        <w:t xml:space="preserve">12 de marzo del 2009</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Ingra. Gianinna Ortiz, Vicerrectoría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Freddy Ramírez, Dirección Escuela Ingeniería en Computación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Roberto Pereira, Dirección Escuela Ingeniería Electrónica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2599, Artículo 10, del 12 de marzo del 2009.  Creación del Área de Ingeniería en Computadoras</w:t>
            </w:r>
            <w:r w:rsidDel="00000000" w:rsidR="00000000" w:rsidRPr="00000000">
              <w:rPr>
                <w:rtl w:val="0"/>
              </w:rPr>
            </w:r>
          </w:p>
        </w:tc>
      </w:tr>
    </w:tbl>
    <w:p w:rsidR="00000000" w:rsidDel="00000000" w:rsidP="00000000" w:rsidRDefault="00000000" w:rsidRPr="00000000">
      <w:pPr>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pPr>
      <w:r w:rsidDel="00000000" w:rsidR="00000000" w:rsidRPr="00000000">
        <w:rPr>
          <w:i w:val="0"/>
          <w:sz w:val="24"/>
          <w:szCs w:val="24"/>
          <w:vertAlign w:val="baseline"/>
          <w:rtl w:val="0"/>
        </w:rPr>
        <w:t xml:space="preserve">El Consejo Institucional en la Sesión Ordinaria No. 2572, Artículo 8, del 21 de agosto del 2008 aprobó la apertura del </w:t>
      </w:r>
      <w:r w:rsidDel="00000000" w:rsidR="00000000" w:rsidRPr="00000000">
        <w:rPr>
          <w:i w:val="1"/>
          <w:sz w:val="24"/>
          <w:szCs w:val="24"/>
          <w:vertAlign w:val="baseline"/>
          <w:rtl w:val="0"/>
        </w:rPr>
        <w:t xml:space="preserve">“Programa de Ingeniería en Computadoras”</w:t>
      </w:r>
      <w:r w:rsidDel="00000000" w:rsidR="00000000" w:rsidRPr="00000000">
        <w:rPr>
          <w:i w:val="0"/>
          <w:sz w:val="24"/>
          <w:szCs w:val="24"/>
          <w:vertAlign w:val="baseline"/>
          <w:rtl w:val="0"/>
        </w:rPr>
        <w:t xml:space="preserve">, para impartir la carrera Ingeniería en Computadoras, grado académico de Licenciatura, a partir del I Semestre del 2009, con la participación de la Escuela de Ingeniería Electrónica y de la Escuela de Ingeniería en Computación y solicita a la Administración que tome las previsiones presupuestarias necesarias que coadyuven al éxito del nuevo Programa.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pPr>
      <w:r w:rsidDel="00000000" w:rsidR="00000000" w:rsidRPr="00000000">
        <w:rPr>
          <w:i w:val="0"/>
          <w:sz w:val="24"/>
          <w:szCs w:val="24"/>
          <w:vertAlign w:val="baseline"/>
          <w:rtl w:val="0"/>
        </w:rPr>
        <w:t xml:space="preserve">La Ingra. Giannina Ortiz., Vicerrectora de Docencia, mediante oficio ViDa-058-2009 del 05 de febrero del 2009, dirigido al M.Sc. Eugenio Trejos Benavides, Presidente Consejo Institucional, comunicó el acuerdo tomado por el Consejo de Docencia en su Sesión Ordinaria No. 01-2009, celebrada el 04 de febrero del 2009, artículo 5, inciso b, el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spacing w:after="120" w:before="0" w:line="240" w:lineRule="auto"/>
        <w:ind w:left="708" w:right="406" w:firstLine="0"/>
        <w:contextualSpacing w:val="0"/>
        <w:jc w:val="both"/>
      </w:pPr>
      <w:r w:rsidDel="00000000" w:rsidR="00000000" w:rsidRPr="00000000">
        <w:rPr>
          <w:rFonts w:ascii="Arial" w:cs="Arial" w:eastAsia="Arial" w:hAnsi="Arial"/>
          <w:b w:val="1"/>
          <w:i w:val="1"/>
          <w:sz w:val="20"/>
          <w:szCs w:val="20"/>
          <w:vertAlign w:val="baseline"/>
          <w:rtl w:val="0"/>
        </w:rPr>
        <w:t xml:space="preserve">“Solicitar al Consejo Institucional la Creación del Área de Ingeniería en Computadores, integrada por las Escuelas de Ingeniería Electrónica e Ingeniería en Computación, para realizar actividades docentes, de investigación y de extensión, en el marco de lo establecido en 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pPr>
      <w:r w:rsidDel="00000000" w:rsidR="00000000" w:rsidRPr="00000000">
        <w:rPr>
          <w:i w:val="0"/>
          <w:sz w:val="24"/>
          <w:szCs w:val="24"/>
          <w:vertAlign w:val="baseline"/>
          <w:rtl w:val="0"/>
        </w:rPr>
        <w:t xml:space="preserve">La Comisión de Planificación y Administración en la reunión N° 292-09, celebrada el viernes 27 de febrero del 2009, analizó la solicitud planteada por el Consejo de Docencia en su Sesión Ordinaria No. 01-2009, celebrada el 04 de febrero del 2009, Artículo 5, inciso b, e invitó al Ing. Luis Paulino Méndez Badilla, Coordinador  de  esa  Carrera, para  conocer  sus  observaciones  al  respecto  y </w:t>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2599, Artículo 10, del 12 de marzo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dispuso elaborar la respectiva propuesta de “Creación del Área de Ingeniería en Computadoras” para ser sometida a conocimiento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pPr>
      <w:r w:rsidDel="00000000" w:rsidR="00000000" w:rsidRPr="00000000">
        <w:rPr>
          <w:i w:val="0"/>
          <w:sz w:val="24"/>
          <w:szCs w:val="24"/>
          <w:vertAlign w:val="baseline"/>
          <w:rtl w:val="0"/>
        </w:rPr>
        <w:t xml:space="preserve">El Estatuto Orgánico en su Artículo 18, inciso</w:t>
      </w:r>
      <w:r w:rsidDel="00000000" w:rsidR="00000000" w:rsidRPr="00000000">
        <w:rPr>
          <w:b w:val="1"/>
          <w:i w:val="0"/>
          <w:sz w:val="24"/>
          <w:szCs w:val="24"/>
          <w:vertAlign w:val="baseline"/>
          <w:rtl w:val="0"/>
        </w:rPr>
        <w:t xml:space="preserve"> </w:t>
      </w:r>
      <w:r w:rsidDel="00000000" w:rsidR="00000000" w:rsidRPr="00000000">
        <w:rPr>
          <w:i w:val="0"/>
          <w:sz w:val="24"/>
          <w:szCs w:val="24"/>
          <w:vertAlign w:val="baseline"/>
          <w:rtl w:val="0"/>
        </w:rPr>
        <w:t xml:space="preserve">e, establece:</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b w:val="1"/>
          <w:i w:val="1"/>
          <w:sz w:val="20"/>
          <w:szCs w:val="20"/>
          <w:vertAlign w:val="baseline"/>
          <w:rtl w:val="0"/>
        </w:rPr>
        <w:t xml:space="preserve">“Artículo 18</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b w:val="1"/>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b w:val="1"/>
          <w:i w:val="1"/>
          <w:sz w:val="20"/>
          <w:szCs w:val="20"/>
          <w:vertAlign w:val="baseline"/>
          <w:rtl w:val="0"/>
        </w:rPr>
        <w:t xml:space="preserve">e.</w:t>
      </w:r>
      <w:r w:rsidDel="00000000" w:rsidR="00000000" w:rsidRPr="00000000">
        <w:rPr>
          <w:i w:val="1"/>
          <w:sz w:val="20"/>
          <w:szCs w:val="20"/>
          <w:vertAlign w:val="baseline"/>
          <w:rtl w:val="0"/>
        </w:rPr>
        <w:t xml:space="preserve"> </w:t>
        <w:tab/>
        <w:t xml:space="preserve">Crear, fusionar, modificar, trasladar o eliminar departamentos u otras unidades de igual o superior jerarquía, previa consulta a los órganos correspondientes.”</w:t>
      </w:r>
      <w:r w:rsidDel="00000000" w:rsidR="00000000" w:rsidRPr="00000000">
        <w:rPr>
          <w:rtl w:val="0"/>
        </w:rPr>
      </w:r>
    </w:p>
    <w:p w:rsidR="00000000" w:rsidDel="00000000" w:rsidP="00000000" w:rsidRDefault="00000000" w:rsidRPr="00000000">
      <w:pPr>
        <w:ind w:right="286"/>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pPr>
      <w:r w:rsidDel="00000000" w:rsidR="00000000" w:rsidRPr="00000000">
        <w:rPr>
          <w:i w:val="0"/>
          <w:sz w:val="24"/>
          <w:szCs w:val="24"/>
          <w:vertAlign w:val="baseline"/>
          <w:rtl w:val="0"/>
        </w:rPr>
        <w:t xml:space="preserve">El Artículo 40, inciso d, del Estatuto Orgánico establece: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b w:val="1"/>
          <w:i w:val="1"/>
          <w:sz w:val="20"/>
          <w:szCs w:val="20"/>
          <w:vertAlign w:val="baseline"/>
          <w:rtl w:val="0"/>
        </w:rPr>
        <w:t xml:space="preserve">“Artículo 40.</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i w:val="1"/>
          <w:sz w:val="20"/>
          <w:szCs w:val="20"/>
          <w:vertAlign w:val="baseline"/>
          <w:rtl w:val="0"/>
        </w:rPr>
        <w:t xml:space="preserve">Son funciones específicas del Consejo de Docencia:</w:t>
      </w: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i w:val="1"/>
          <w:sz w:val="20"/>
          <w:szCs w:val="20"/>
          <w:vertAlign w:val="baseline"/>
          <w:rtl w:val="0"/>
        </w:rPr>
        <w:t xml:space="preserve">d.</w:t>
        <w:tab/>
        <w:t xml:space="preserve">Resolver sobre el apoyo a las propuestas de </w:t>
      </w:r>
      <w:r w:rsidDel="00000000" w:rsidR="00000000" w:rsidRPr="00000000">
        <w:rPr>
          <w:b w:val="1"/>
          <w:i w:val="1"/>
          <w:sz w:val="20"/>
          <w:szCs w:val="20"/>
          <w:vertAlign w:val="baseline"/>
          <w:rtl w:val="0"/>
        </w:rPr>
        <w:t xml:space="preserve">creación, modificación o eliminación de áreas académicas dedicadas a desarrollar programas docentes de carácter inter, trans y/o multidisciplinario, para su trámite ante el Consejo Institucional</w:t>
      </w:r>
      <w:r w:rsidDel="00000000" w:rsidR="00000000" w:rsidRPr="00000000">
        <w:rPr>
          <w:i w:val="1"/>
          <w:sz w:val="20"/>
          <w:szCs w:val="20"/>
          <w:vertAlign w:val="baseline"/>
          <w:rtl w:val="0"/>
        </w:rPr>
        <w:t xml:space="preserve"> por parte del Vicerrector de Docencia, todo conforme a lo dispuesto por la reglamentación respectiva.”</w:t>
      </w:r>
      <w:r w:rsidDel="00000000" w:rsidR="00000000" w:rsidRPr="00000000">
        <w:rPr>
          <w:rtl w:val="0"/>
        </w:rPr>
      </w:r>
    </w:p>
    <w:p w:rsidR="00000000" w:rsidDel="00000000" w:rsidP="00000000" w:rsidRDefault="00000000" w:rsidRPr="00000000">
      <w:pPr>
        <w:ind w:left="2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pPr>
      <w:r w:rsidDel="00000000" w:rsidR="00000000" w:rsidRPr="00000000">
        <w:rPr>
          <w:i w:val="0"/>
          <w:sz w:val="24"/>
          <w:szCs w:val="24"/>
          <w:vertAlign w:val="baseline"/>
          <w:rtl w:val="0"/>
        </w:rPr>
        <w:t xml:space="preserve">El Artículo </w:t>
      </w:r>
      <w:r w:rsidDel="00000000" w:rsidR="00000000" w:rsidRPr="00000000">
        <w:rPr>
          <w:b w:val="1"/>
          <w:i w:val="0"/>
          <w:sz w:val="24"/>
          <w:szCs w:val="24"/>
          <w:vertAlign w:val="baseline"/>
          <w:rtl w:val="0"/>
        </w:rPr>
        <w:t xml:space="preserve">49 </w:t>
      </w:r>
      <w:r w:rsidDel="00000000" w:rsidR="00000000" w:rsidRPr="00000000">
        <w:rPr>
          <w:i w:val="0"/>
          <w:sz w:val="24"/>
          <w:szCs w:val="24"/>
          <w:vertAlign w:val="baseline"/>
          <w:rtl w:val="0"/>
        </w:rPr>
        <w:t xml:space="preserve">del Estatuto Orgánico establece:</w:t>
      </w:r>
      <w:r w:rsidDel="00000000" w:rsidR="00000000" w:rsidRPr="00000000">
        <w:rPr>
          <w:rtl w:val="0"/>
        </w:rPr>
      </w:r>
    </w:p>
    <w:p w:rsidR="00000000" w:rsidDel="00000000" w:rsidP="00000000" w:rsidRDefault="00000000" w:rsidRPr="00000000">
      <w:pPr>
        <w:ind w:left="240" w:firstLine="0"/>
        <w:contextualSpacing w:val="0"/>
        <w:jc w:val="both"/>
      </w:pP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b w:val="1"/>
          <w:i w:val="1"/>
          <w:sz w:val="20"/>
          <w:szCs w:val="20"/>
          <w:vertAlign w:val="baseline"/>
          <w:rtl w:val="0"/>
        </w:rPr>
        <w:t xml:space="preserve">“Artículo 49. Definición de área académica</w:t>
      </w:r>
      <w:r w:rsidDel="00000000" w:rsidR="00000000" w:rsidRPr="00000000">
        <w:rPr>
          <w:rtl w:val="0"/>
        </w:rPr>
      </w:r>
    </w:p>
    <w:p w:rsidR="00000000" w:rsidDel="00000000" w:rsidP="00000000" w:rsidRDefault="00000000" w:rsidRPr="00000000">
      <w:pPr>
        <w:ind w:left="720" w:right="286" w:hanging="12.000000000000028"/>
        <w:contextualSpacing w:val="0"/>
        <w:jc w:val="both"/>
      </w:pPr>
      <w:r w:rsidDel="00000000" w:rsidR="00000000" w:rsidRPr="00000000">
        <w:rPr>
          <w:b w:val="1"/>
          <w:i w:val="1"/>
          <w:sz w:val="20"/>
          <w:szCs w:val="20"/>
          <w:u w:val="single"/>
          <w:vertAlign w:val="baseline"/>
          <w:rtl w:val="0"/>
        </w:rPr>
        <w:t xml:space="preserve">Un área académica es estructuralmente una unidad</w:t>
      </w:r>
      <w:r w:rsidDel="00000000" w:rsidR="00000000" w:rsidRPr="00000000">
        <w:rPr>
          <w:i w:val="1"/>
          <w:sz w:val="20"/>
          <w:szCs w:val="20"/>
          <w:vertAlign w:val="baseline"/>
          <w:rtl w:val="0"/>
        </w:rPr>
        <w:t xml:space="preserve">, </w:t>
      </w:r>
      <w:r w:rsidDel="00000000" w:rsidR="00000000" w:rsidRPr="00000000">
        <w:rPr>
          <w:b w:val="1"/>
          <w:i w:val="1"/>
          <w:sz w:val="20"/>
          <w:szCs w:val="20"/>
          <w:u w:val="single"/>
          <w:vertAlign w:val="baseline"/>
          <w:rtl w:val="0"/>
        </w:rPr>
        <w:t xml:space="preserve">adscrita a una vicerrectoría académica</w:t>
      </w:r>
      <w:r w:rsidDel="00000000" w:rsidR="00000000" w:rsidRPr="00000000">
        <w:rPr>
          <w:i w:val="1"/>
          <w:sz w:val="20"/>
          <w:szCs w:val="20"/>
          <w:vertAlign w:val="baseline"/>
          <w:rtl w:val="0"/>
        </w:rPr>
        <w:t xml:space="preserve">, en la cual participan dos o más escuelas con el fin de desarrollar programas académicos de docencia o programas consolidados de investigación y/o extensión, de carácter inter, trans y/o multidisciplinario.  </w:t>
      </w:r>
      <w:r w:rsidDel="00000000" w:rsidR="00000000" w:rsidRPr="00000000">
        <w:rPr>
          <w:b w:val="1"/>
          <w:i w:val="1"/>
          <w:sz w:val="20"/>
          <w:szCs w:val="20"/>
          <w:u w:val="single"/>
          <w:vertAlign w:val="baseline"/>
          <w:rtl w:val="0"/>
        </w:rPr>
        <w:t xml:space="preserve">Estará a cargo de un coordinador</w:t>
      </w:r>
      <w:r w:rsidDel="00000000" w:rsidR="00000000" w:rsidRPr="00000000">
        <w:rPr>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40" w:firstLine="0"/>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pPr>
      <w:r w:rsidDel="00000000" w:rsidR="00000000" w:rsidRPr="00000000">
        <w:rPr>
          <w:i w:val="0"/>
          <w:sz w:val="24"/>
          <w:szCs w:val="24"/>
          <w:vertAlign w:val="baseline"/>
          <w:rtl w:val="0"/>
        </w:rPr>
        <w:t xml:space="preserve">El Reglamento de Creación, Modificación o Eliminación de Unidades, en su Artículo 10, establece: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200" w:right="286" w:hanging="492"/>
        <w:contextualSpacing w:val="0"/>
        <w:jc w:val="both"/>
      </w:pPr>
      <w:r w:rsidDel="00000000" w:rsidR="00000000" w:rsidRPr="00000000">
        <w:rPr>
          <w:b w:val="1"/>
          <w:i w:val="1"/>
          <w:sz w:val="20"/>
          <w:szCs w:val="20"/>
          <w:vertAlign w:val="baseline"/>
          <w:rtl w:val="0"/>
        </w:rPr>
        <w:t xml:space="preserve">“Artículo 10. </w:t>
      </w:r>
      <w:r w:rsidDel="00000000" w:rsidR="00000000" w:rsidRPr="00000000">
        <w:rPr>
          <w:rtl w:val="0"/>
        </w:rPr>
      </w:r>
    </w:p>
    <w:p w:rsidR="00000000" w:rsidDel="00000000" w:rsidP="00000000" w:rsidRDefault="00000000" w:rsidRPr="00000000">
      <w:pPr>
        <w:ind w:left="720" w:right="286" w:hanging="12.000000000000028"/>
        <w:contextualSpacing w:val="0"/>
        <w:jc w:val="both"/>
      </w:pPr>
      <w:r w:rsidDel="00000000" w:rsidR="00000000" w:rsidRPr="00000000">
        <w:rPr>
          <w:i w:val="1"/>
          <w:sz w:val="20"/>
          <w:szCs w:val="20"/>
          <w:vertAlign w:val="baseline"/>
          <w:rtl w:val="0"/>
        </w:rPr>
        <w:t xml:space="preserve">La creación de unidades en Departamentos Académicos o Escuelas será automática, según conveniencia institucional y recomendación técnica, cuando el Consejo Institucional apruebe:</w:t>
      </w:r>
      <w:r w:rsidDel="00000000" w:rsidR="00000000" w:rsidRPr="00000000">
        <w:rPr>
          <w:rtl w:val="0"/>
        </w:rPr>
      </w:r>
    </w:p>
    <w:p w:rsidR="00000000" w:rsidDel="00000000" w:rsidP="00000000" w:rsidRDefault="00000000" w:rsidRPr="00000000">
      <w:pPr>
        <w:numPr>
          <w:ilvl w:val="1"/>
          <w:numId w:val="1"/>
        </w:numPr>
        <w:ind w:left="1440" w:right="284" w:hanging="360"/>
        <w:jc w:val="both"/>
        <w:rPr>
          <w:rFonts w:ascii="Arial" w:cs="Arial" w:eastAsia="Arial" w:hAnsi="Arial"/>
        </w:rPr>
      </w:pPr>
      <w:r w:rsidDel="00000000" w:rsidR="00000000" w:rsidRPr="00000000">
        <w:rPr>
          <w:i w:val="1"/>
          <w:sz w:val="20"/>
          <w:szCs w:val="20"/>
          <w:vertAlign w:val="baseline"/>
          <w:rtl w:val="0"/>
        </w:rPr>
        <w:t xml:space="preserve">Una nueva carrera dentro de un Departamento Académico o Escuela</w:t>
      </w:r>
      <w:r w:rsidDel="00000000" w:rsidR="00000000" w:rsidRPr="00000000">
        <w:rPr>
          <w:rtl w:val="0"/>
        </w:rPr>
      </w:r>
    </w:p>
    <w:p w:rsidR="00000000" w:rsidDel="00000000" w:rsidP="00000000" w:rsidRDefault="00000000" w:rsidRPr="00000000">
      <w:pPr>
        <w:numPr>
          <w:ilvl w:val="1"/>
          <w:numId w:val="1"/>
        </w:numPr>
        <w:ind w:left="1440" w:right="284" w:hanging="360"/>
        <w:jc w:val="both"/>
        <w:rPr>
          <w:rFonts w:ascii="Arial" w:cs="Arial" w:eastAsia="Arial" w:hAnsi="Arial"/>
        </w:rPr>
      </w:pPr>
      <w:r w:rsidDel="00000000" w:rsidR="00000000" w:rsidRPr="00000000">
        <w:rPr>
          <w:i w:val="1"/>
          <w:sz w:val="20"/>
          <w:szCs w:val="20"/>
          <w:vertAlign w:val="baseline"/>
          <w:rtl w:val="0"/>
        </w:rPr>
        <w:t xml:space="preserve">Un énfasis adicional al impartido en un Departamento Académico o  Escuela</w:t>
      </w:r>
      <w:r w:rsidDel="00000000" w:rsidR="00000000" w:rsidRPr="00000000">
        <w:rPr>
          <w:rtl w:val="0"/>
        </w:rPr>
      </w:r>
    </w:p>
    <w:p w:rsidR="00000000" w:rsidDel="00000000" w:rsidP="00000000" w:rsidRDefault="00000000" w:rsidRPr="00000000">
      <w:pPr>
        <w:numPr>
          <w:ilvl w:val="1"/>
          <w:numId w:val="1"/>
        </w:numPr>
        <w:ind w:left="1440" w:right="284" w:hanging="360"/>
        <w:jc w:val="both"/>
        <w:rPr>
          <w:rFonts w:ascii="Arial" w:cs="Arial" w:eastAsia="Arial" w:hAnsi="Arial"/>
        </w:rPr>
      </w:pPr>
      <w:r w:rsidDel="00000000" w:rsidR="00000000" w:rsidRPr="00000000">
        <w:rPr>
          <w:i w:val="1"/>
          <w:sz w:val="20"/>
          <w:szCs w:val="20"/>
          <w:vertAlign w:val="baseline"/>
          <w:rtl w:val="0"/>
        </w:rPr>
        <w:t xml:space="preserve">Un grado de Diplomado, Licenciatura, Maestría o Doctorado dentro de un Departamento Académico o Escuela”</w:t>
      </w:r>
      <w:r w:rsidDel="00000000" w:rsidR="00000000" w:rsidRPr="00000000">
        <w:rPr>
          <w:rtl w:val="0"/>
        </w:rPr>
      </w:r>
    </w:p>
    <w:p w:rsidR="00000000" w:rsidDel="00000000" w:rsidP="00000000" w:rsidRDefault="00000000" w:rsidRPr="00000000">
      <w:pPr>
        <w:ind w:right="284"/>
        <w:contextualSpacing w:val="0"/>
        <w:jc w:val="both"/>
      </w:pPr>
      <w:r w:rsidDel="00000000" w:rsidR="00000000" w:rsidRPr="00000000">
        <w:rPr>
          <w:rtl w:val="0"/>
        </w:rPr>
      </w:r>
    </w:p>
    <w:p w:rsidR="00000000" w:rsidDel="00000000" w:rsidP="00000000" w:rsidRDefault="00000000" w:rsidRPr="00000000">
      <w:pPr>
        <w:ind w:right="284"/>
        <w:contextualSpacing w:val="0"/>
        <w:jc w:val="both"/>
      </w:pPr>
      <w:r w:rsidDel="00000000" w:rsidR="00000000" w:rsidRPr="00000000">
        <w:rPr>
          <w:rtl w:val="0"/>
        </w:rPr>
      </w:r>
    </w:p>
    <w:p w:rsidR="00000000" w:rsidDel="00000000" w:rsidP="00000000" w:rsidRDefault="00000000" w:rsidRPr="00000000">
      <w:pPr>
        <w:ind w:right="284"/>
        <w:contextualSpacing w:val="0"/>
        <w:jc w:val="both"/>
      </w:pPr>
      <w:r w:rsidDel="00000000" w:rsidR="00000000" w:rsidRPr="00000000">
        <w:rPr>
          <w:rtl w:val="0"/>
        </w:rPr>
      </w:r>
    </w:p>
    <w:p w:rsidR="00000000" w:rsidDel="00000000" w:rsidP="00000000" w:rsidRDefault="00000000" w:rsidRPr="00000000">
      <w:pPr>
        <w:ind w:right="284"/>
        <w:contextualSpacing w:val="0"/>
        <w:jc w:val="both"/>
      </w:pPr>
      <w:r w:rsidDel="00000000" w:rsidR="00000000" w:rsidRPr="00000000">
        <w:rPr>
          <w:rtl w:val="0"/>
        </w:rPr>
      </w:r>
    </w:p>
    <w:p w:rsidR="00000000" w:rsidDel="00000000" w:rsidP="00000000" w:rsidRDefault="00000000" w:rsidRPr="00000000">
      <w:pPr>
        <w:ind w:right="284"/>
        <w:contextualSpacing w:val="0"/>
        <w:jc w:val="both"/>
      </w:pPr>
      <w:r w:rsidDel="00000000" w:rsidR="00000000" w:rsidRPr="00000000">
        <w:rPr>
          <w:rtl w:val="0"/>
        </w:rPr>
      </w:r>
    </w:p>
    <w:p w:rsidR="00000000" w:rsidDel="00000000" w:rsidP="00000000" w:rsidRDefault="00000000" w:rsidRPr="00000000">
      <w:pPr>
        <w:ind w:right="284"/>
        <w:contextualSpacing w:val="0"/>
        <w:jc w:val="both"/>
      </w:pPr>
      <w:r w:rsidDel="00000000" w:rsidR="00000000" w:rsidRPr="00000000">
        <w:rPr>
          <w:rtl w:val="0"/>
        </w:rPr>
      </w:r>
    </w:p>
    <w:p w:rsidR="00000000" w:rsidDel="00000000" w:rsidP="00000000" w:rsidRDefault="00000000" w:rsidRPr="00000000">
      <w:pPr>
        <w:ind w:right="284"/>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2599, Artículo 10, del 12 de marzo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80" w:hanging="480"/>
        <w:jc w:val="both"/>
        <w:rPr/>
      </w:pPr>
      <w:r w:rsidDel="00000000" w:rsidR="00000000" w:rsidRPr="00000000">
        <w:rPr>
          <w:b w:val="1"/>
          <w:i w:val="0"/>
          <w:sz w:val="24"/>
          <w:szCs w:val="24"/>
          <w:u w:val="single"/>
          <w:vertAlign w:val="baseline"/>
          <w:rtl w:val="0"/>
        </w:rPr>
        <w:t xml:space="preserve">El propósito de un área es constituir un órgano de coordinación académica</w:t>
      </w:r>
      <w:r w:rsidDel="00000000" w:rsidR="00000000" w:rsidRPr="00000000">
        <w:rPr>
          <w:i w:val="0"/>
          <w:sz w:val="24"/>
          <w:szCs w:val="24"/>
          <w:vertAlign w:val="baseline"/>
          <w:rtl w:val="0"/>
        </w:rPr>
        <w:t xml:space="preserve"> que cuente con la estructura y modo de funcionamiento que favorezca la adecuada operación académica de la Carrera de Ingeniería en Computadoras por parte de las escuelas participantes: la Escuela de Ingeniería Electrónica y la Escuela de Ingeniería en Computación.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80" w:hanging="480"/>
        <w:jc w:val="both"/>
        <w:rPr/>
      </w:pPr>
      <w:r w:rsidDel="00000000" w:rsidR="00000000" w:rsidRPr="00000000">
        <w:rPr>
          <w:b w:val="1"/>
          <w:i w:val="0"/>
          <w:sz w:val="24"/>
          <w:szCs w:val="24"/>
          <w:u w:val="single"/>
          <w:vertAlign w:val="baseline"/>
          <w:rtl w:val="0"/>
        </w:rPr>
        <w:t xml:space="preserve">El propósito de una unidad es constituir un órgano de carácter administrativo</w:t>
      </w:r>
      <w:r w:rsidDel="00000000" w:rsidR="00000000" w:rsidRPr="00000000">
        <w:rPr>
          <w:i w:val="0"/>
          <w:sz w:val="24"/>
          <w:szCs w:val="24"/>
          <w:vertAlign w:val="baseline"/>
          <w:rtl w:val="0"/>
        </w:rPr>
        <w:t xml:space="preserve"> que permita la gestión de los recursos materiales y humanos necesarios para la adecuada operación administrativa de la Carrera de Ingeniería en Computadoras.</w:t>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i w:val="0"/>
          <w:sz w:val="24"/>
          <w:szCs w:val="24"/>
        </w:rPr>
      </w:pPr>
      <w:r w:rsidDel="00000000" w:rsidR="00000000" w:rsidRPr="00000000">
        <w:rPr>
          <w:i w:val="0"/>
          <w:sz w:val="24"/>
          <w:szCs w:val="24"/>
          <w:vertAlign w:val="baseline"/>
          <w:rtl w:val="0"/>
        </w:rPr>
        <w:t xml:space="preserve">Crear el Área de Ingeniería en Computadoras con las siguientes características: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2"/>
        </w:numPr>
        <w:tabs>
          <w:tab w:val="left" w:pos="1080"/>
        </w:tabs>
        <w:ind w:left="1080" w:hanging="360"/>
        <w:jc w:val="both"/>
        <w:rPr>
          <w:sz w:val="24"/>
          <w:szCs w:val="24"/>
        </w:rPr>
      </w:pPr>
      <w:r w:rsidDel="00000000" w:rsidR="00000000" w:rsidRPr="00000000">
        <w:rPr>
          <w:i w:val="0"/>
          <w:sz w:val="24"/>
          <w:szCs w:val="24"/>
          <w:vertAlign w:val="baseline"/>
          <w:rtl w:val="0"/>
        </w:rPr>
        <w:t xml:space="preserve">Desde el punto de vista </w:t>
      </w:r>
      <w:r w:rsidDel="00000000" w:rsidR="00000000" w:rsidRPr="00000000">
        <w:rPr>
          <w:b w:val="1"/>
          <w:i w:val="0"/>
          <w:sz w:val="24"/>
          <w:szCs w:val="24"/>
          <w:u w:val="single"/>
          <w:vertAlign w:val="baseline"/>
          <w:rtl w:val="0"/>
        </w:rPr>
        <w:t xml:space="preserve">académico</w:t>
      </w:r>
      <w:r w:rsidDel="00000000" w:rsidR="00000000" w:rsidRPr="00000000">
        <w:rPr>
          <w:i w:val="0"/>
          <w:sz w:val="24"/>
          <w:szCs w:val="24"/>
          <w:vertAlign w:val="baseline"/>
          <w:rtl w:val="0"/>
        </w:rPr>
        <w:t xml:space="preserve">, está integrada por las Escuelas de Ingeniería en Electrónica e Ingeniería en Computación, su propósito es desarrollar programas académicos docentes, de investigación y de extensión, y contará con los órganos colegiados establecidos en el Estatuto Orgánico.</w:t>
      </w:r>
      <w:r w:rsidDel="00000000" w:rsidR="00000000" w:rsidRPr="00000000">
        <w:rPr>
          <w:rtl w:val="0"/>
        </w:rPr>
      </w:r>
    </w:p>
    <w:p w:rsidR="00000000" w:rsidDel="00000000" w:rsidP="00000000" w:rsidRDefault="00000000" w:rsidRPr="00000000">
      <w:pPr>
        <w:ind w:left="1428" w:hanging="720"/>
        <w:contextualSpacing w:val="0"/>
      </w:pPr>
      <w:r w:rsidDel="00000000" w:rsidR="00000000" w:rsidRPr="00000000">
        <w:rPr>
          <w:rtl w:val="0"/>
        </w:rPr>
      </w:r>
    </w:p>
    <w:p w:rsidR="00000000" w:rsidDel="00000000" w:rsidP="00000000" w:rsidRDefault="00000000" w:rsidRPr="00000000">
      <w:pPr>
        <w:numPr>
          <w:ilvl w:val="1"/>
          <w:numId w:val="2"/>
        </w:numPr>
        <w:tabs>
          <w:tab w:val="left" w:pos="1080"/>
        </w:tabs>
        <w:ind w:left="1080" w:hanging="360"/>
        <w:jc w:val="both"/>
        <w:rPr>
          <w:sz w:val="24"/>
          <w:szCs w:val="24"/>
        </w:rPr>
      </w:pPr>
      <w:r w:rsidDel="00000000" w:rsidR="00000000" w:rsidRPr="00000000">
        <w:rPr>
          <w:i w:val="0"/>
          <w:sz w:val="24"/>
          <w:szCs w:val="24"/>
          <w:vertAlign w:val="baseline"/>
          <w:rtl w:val="0"/>
        </w:rPr>
        <w:t xml:space="preserve">Desde el punto de vista </w:t>
      </w:r>
      <w:r w:rsidDel="00000000" w:rsidR="00000000" w:rsidRPr="00000000">
        <w:rPr>
          <w:b w:val="1"/>
          <w:i w:val="0"/>
          <w:sz w:val="24"/>
          <w:szCs w:val="24"/>
          <w:u w:val="single"/>
          <w:vertAlign w:val="baseline"/>
          <w:rtl w:val="0"/>
        </w:rPr>
        <w:t xml:space="preserve">administrativo</w:t>
      </w:r>
      <w:r w:rsidDel="00000000" w:rsidR="00000000" w:rsidRPr="00000000">
        <w:rPr>
          <w:i w:val="0"/>
          <w:sz w:val="24"/>
          <w:szCs w:val="24"/>
          <w:vertAlign w:val="baseline"/>
          <w:rtl w:val="0"/>
        </w:rPr>
        <w:t xml:space="preserve">, es una unidad con categoría 3 y está adscrita a la Vicerrectoría de Docencia.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i w:val="0"/>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49" w:firstLine="1789"/>
      </w:pPr>
      <w:rPr>
        <w:rFonts w:ascii="Arial" w:cs="Arial" w:eastAsia="Arial" w:hAnsi="Arial"/>
        <w:b w:val="1"/>
        <w:i w:val="0"/>
        <w:sz w:val="22"/>
        <w:szCs w:val="22"/>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b w:val="1"/>
        <w:vertAlign w:val="baseline"/>
      </w:rPr>
    </w:lvl>
    <w:lvl w:ilvl="1">
      <w:start w:val="1"/>
      <w:numFmt w:val="lowerRoman"/>
      <w:lvlText w:val="%2."/>
      <w:lvlJc w:val="left"/>
      <w:pPr>
        <w:ind w:left="125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